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79" w:rsidRPr="00C84572" w:rsidRDefault="00C40BA9" w:rsidP="00842F79">
      <w:pPr>
        <w:spacing w:after="0"/>
        <w:jc w:val="right"/>
        <w:rPr>
          <w:color w:val="44546A" w:themeColor="text2"/>
          <w:sz w:val="24"/>
        </w:rPr>
      </w:pPr>
      <w:r w:rsidRPr="00C40BA9">
        <w:rPr>
          <w:color w:val="44546A" w:themeColor="text2"/>
          <w:sz w:val="24"/>
        </w:rPr>
        <w:t xml:space="preserve">Действуют с </w:t>
      </w:r>
      <w:r w:rsidR="0011021E">
        <w:rPr>
          <w:color w:val="44546A" w:themeColor="text2"/>
          <w:sz w:val="24"/>
        </w:rPr>
        <w:t>2</w:t>
      </w:r>
      <w:r w:rsidR="0031259E">
        <w:rPr>
          <w:color w:val="44546A" w:themeColor="text2"/>
          <w:sz w:val="24"/>
        </w:rPr>
        <w:t>8</w:t>
      </w:r>
      <w:r w:rsidRPr="00C40BA9">
        <w:rPr>
          <w:color w:val="44546A" w:themeColor="text2"/>
          <w:sz w:val="24"/>
        </w:rPr>
        <w:t>.</w:t>
      </w:r>
      <w:r w:rsidR="0031259E">
        <w:rPr>
          <w:color w:val="44546A" w:themeColor="text2"/>
          <w:sz w:val="24"/>
        </w:rPr>
        <w:t>11</w:t>
      </w:r>
      <w:r w:rsidRPr="00C40BA9">
        <w:rPr>
          <w:color w:val="44546A" w:themeColor="text2"/>
          <w:sz w:val="24"/>
        </w:rPr>
        <w:t>.201</w:t>
      </w:r>
      <w:r w:rsidR="009467FF">
        <w:rPr>
          <w:color w:val="44546A" w:themeColor="text2"/>
          <w:sz w:val="24"/>
        </w:rPr>
        <w:t>8</w:t>
      </w:r>
      <w:r w:rsidRPr="00C40BA9">
        <w:rPr>
          <w:color w:val="44546A" w:themeColor="text2"/>
          <w:sz w:val="24"/>
        </w:rPr>
        <w:t>г.</w:t>
      </w:r>
    </w:p>
    <w:p w:rsidR="008C5135" w:rsidRDefault="008C5135" w:rsidP="00D404D0">
      <w:pPr>
        <w:spacing w:after="0"/>
        <w:jc w:val="center"/>
        <w:rPr>
          <w:b/>
          <w:color w:val="C00000"/>
          <w:sz w:val="32"/>
        </w:rPr>
      </w:pPr>
    </w:p>
    <w:p w:rsidR="002818F9" w:rsidRPr="00FD1914" w:rsidRDefault="006537D0" w:rsidP="00D404D0">
      <w:pPr>
        <w:spacing w:after="0"/>
        <w:jc w:val="center"/>
        <w:rPr>
          <w:b/>
          <w:color w:val="C00000"/>
          <w:sz w:val="32"/>
        </w:rPr>
      </w:pPr>
      <w:r w:rsidRPr="00FD1914">
        <w:rPr>
          <w:b/>
          <w:color w:val="C00000"/>
          <w:sz w:val="32"/>
        </w:rPr>
        <w:t xml:space="preserve">ТАРИФЫ </w:t>
      </w:r>
    </w:p>
    <w:p w:rsidR="00CD072E" w:rsidRPr="00FD1914" w:rsidRDefault="00CD072E" w:rsidP="00D404D0">
      <w:pPr>
        <w:spacing w:after="0"/>
        <w:jc w:val="center"/>
        <w:rPr>
          <w:b/>
          <w:color w:val="C00000"/>
          <w:sz w:val="32"/>
        </w:rPr>
      </w:pPr>
      <w:r w:rsidRPr="00FD1914">
        <w:rPr>
          <w:b/>
          <w:color w:val="C00000"/>
          <w:sz w:val="32"/>
        </w:rPr>
        <w:t>АО «УФИМСКОЕ ГОРОДСКОЕ АГЕН</w:t>
      </w:r>
      <w:r w:rsidR="00D51C76">
        <w:rPr>
          <w:b/>
          <w:color w:val="C00000"/>
          <w:sz w:val="32"/>
        </w:rPr>
        <w:t>Т</w:t>
      </w:r>
      <w:r w:rsidRPr="00FD1914">
        <w:rPr>
          <w:b/>
          <w:color w:val="C00000"/>
          <w:sz w:val="32"/>
        </w:rPr>
        <w:t>СТВО ИПОТЕЧНОГО КРЕДИТОВАНИЯ»</w:t>
      </w:r>
    </w:p>
    <w:p w:rsidR="00162BF4" w:rsidRDefault="0057609B" w:rsidP="003E247F">
      <w:pPr>
        <w:spacing w:before="120" w:after="0" w:line="240" w:lineRule="auto"/>
        <w:jc w:val="center"/>
        <w:rPr>
          <w:b/>
          <w:color w:val="C00000"/>
          <w:sz w:val="44"/>
        </w:rPr>
      </w:pPr>
      <w:r>
        <w:rPr>
          <w:b/>
          <w:color w:val="C00000"/>
          <w:sz w:val="44"/>
        </w:rPr>
        <w:t>ПЕРЕКРЕДИТОВАНИЕ</w:t>
      </w:r>
      <w:r w:rsidR="00C40BA9">
        <w:rPr>
          <w:rStyle w:val="a7"/>
          <w:b/>
          <w:color w:val="C00000"/>
          <w:sz w:val="44"/>
        </w:rPr>
        <w:footnoteReference w:id="1"/>
      </w:r>
      <w:r w:rsidR="00C40BA9" w:rsidRPr="00C40BA9">
        <w:rPr>
          <w:b/>
          <w:color w:val="C00000"/>
          <w:sz w:val="44"/>
          <w:vertAlign w:val="superscript"/>
        </w:rPr>
        <w:t>,</w:t>
      </w:r>
      <w:r w:rsidR="00F31FC0">
        <w:rPr>
          <w:rStyle w:val="a7"/>
          <w:b/>
          <w:color w:val="C00000"/>
          <w:sz w:val="44"/>
        </w:rPr>
        <w:footnoteReference w:id="2"/>
      </w:r>
    </w:p>
    <w:p w:rsidR="001203EA" w:rsidRPr="00846E4A" w:rsidRDefault="001203EA" w:rsidP="003E247F">
      <w:pPr>
        <w:spacing w:before="120" w:after="0" w:line="240" w:lineRule="auto"/>
        <w:jc w:val="center"/>
        <w:rPr>
          <w:b/>
          <w:color w:val="C00000"/>
          <w:sz w:val="20"/>
        </w:rPr>
      </w:pPr>
    </w:p>
    <w:tbl>
      <w:tblPr>
        <w:tblStyle w:val="a4"/>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3685"/>
        <w:gridCol w:w="2396"/>
        <w:gridCol w:w="2268"/>
        <w:gridCol w:w="2087"/>
      </w:tblGrid>
      <w:tr w:rsidR="0031259E" w:rsidRPr="0083422D" w:rsidTr="00471B32">
        <w:trPr>
          <w:trHeight w:val="567"/>
        </w:trPr>
        <w:tc>
          <w:tcPr>
            <w:tcW w:w="3685" w:type="dxa"/>
            <w:vAlign w:val="center"/>
          </w:tcPr>
          <w:p w:rsidR="0031259E" w:rsidRPr="0083422D" w:rsidRDefault="0031259E" w:rsidP="003E247F">
            <w:pPr>
              <w:rPr>
                <w:color w:val="44546A" w:themeColor="text2"/>
                <w:sz w:val="32"/>
                <w:szCs w:val="32"/>
              </w:rPr>
            </w:pPr>
            <w:r w:rsidRPr="0083422D">
              <w:rPr>
                <w:color w:val="44546A" w:themeColor="text2"/>
                <w:sz w:val="32"/>
                <w:szCs w:val="32"/>
              </w:rPr>
              <w:t>Срок предоставления займа</w:t>
            </w:r>
          </w:p>
        </w:tc>
        <w:tc>
          <w:tcPr>
            <w:tcW w:w="6751" w:type="dxa"/>
            <w:gridSpan w:val="3"/>
            <w:vAlign w:val="center"/>
          </w:tcPr>
          <w:p w:rsidR="0031259E" w:rsidRPr="0083422D" w:rsidRDefault="0031259E" w:rsidP="003E247F">
            <w:pPr>
              <w:jc w:val="center"/>
              <w:rPr>
                <w:b/>
                <w:color w:val="44546A" w:themeColor="text2"/>
                <w:sz w:val="32"/>
                <w:szCs w:val="32"/>
              </w:rPr>
            </w:pPr>
            <w:r w:rsidRPr="0083422D">
              <w:rPr>
                <w:b/>
                <w:color w:val="44546A" w:themeColor="text2"/>
                <w:sz w:val="32"/>
                <w:szCs w:val="32"/>
              </w:rPr>
              <w:t>От 3 до 30 лет</w:t>
            </w:r>
          </w:p>
        </w:tc>
      </w:tr>
      <w:tr w:rsidR="0031259E" w:rsidRPr="0083422D" w:rsidTr="005625BC">
        <w:trPr>
          <w:trHeight w:val="567"/>
        </w:trPr>
        <w:tc>
          <w:tcPr>
            <w:tcW w:w="3685" w:type="dxa"/>
            <w:vAlign w:val="center"/>
          </w:tcPr>
          <w:p w:rsidR="0031259E" w:rsidRPr="0083422D" w:rsidRDefault="0031259E" w:rsidP="003E247F">
            <w:pPr>
              <w:rPr>
                <w:color w:val="44546A" w:themeColor="text2"/>
                <w:sz w:val="32"/>
                <w:szCs w:val="32"/>
              </w:rPr>
            </w:pPr>
            <w:r w:rsidRPr="0083422D">
              <w:rPr>
                <w:color w:val="44546A" w:themeColor="text2"/>
                <w:sz w:val="32"/>
                <w:szCs w:val="32"/>
              </w:rPr>
              <w:t>Сумма займа, рублей</w:t>
            </w:r>
            <w:r w:rsidRPr="0083422D">
              <w:rPr>
                <w:rStyle w:val="a7"/>
                <w:color w:val="44546A" w:themeColor="text2"/>
                <w:sz w:val="32"/>
                <w:szCs w:val="32"/>
              </w:rPr>
              <w:footnoteReference w:id="3"/>
            </w:r>
          </w:p>
        </w:tc>
        <w:tc>
          <w:tcPr>
            <w:tcW w:w="6751" w:type="dxa"/>
            <w:gridSpan w:val="3"/>
            <w:vAlign w:val="center"/>
          </w:tcPr>
          <w:p w:rsidR="0031259E" w:rsidRPr="0083422D" w:rsidRDefault="0031259E" w:rsidP="002477EF">
            <w:pPr>
              <w:jc w:val="center"/>
              <w:rPr>
                <w:b/>
                <w:color w:val="44546A" w:themeColor="text2"/>
                <w:sz w:val="32"/>
                <w:szCs w:val="32"/>
              </w:rPr>
            </w:pPr>
            <w:r w:rsidRPr="0083422D">
              <w:rPr>
                <w:b/>
                <w:color w:val="44546A" w:themeColor="text2"/>
                <w:sz w:val="32"/>
                <w:szCs w:val="32"/>
              </w:rPr>
              <w:t xml:space="preserve">От </w:t>
            </w:r>
            <w:r>
              <w:rPr>
                <w:b/>
                <w:color w:val="44546A" w:themeColor="text2"/>
                <w:sz w:val="32"/>
                <w:szCs w:val="32"/>
              </w:rPr>
              <w:t>5</w:t>
            </w:r>
            <w:r w:rsidRPr="0083422D">
              <w:rPr>
                <w:b/>
                <w:color w:val="44546A" w:themeColor="text2"/>
                <w:sz w:val="32"/>
                <w:szCs w:val="32"/>
              </w:rPr>
              <w:t xml:space="preserve">00 000 до </w:t>
            </w:r>
            <w:r>
              <w:rPr>
                <w:b/>
                <w:color w:val="44546A" w:themeColor="text2"/>
                <w:sz w:val="32"/>
                <w:szCs w:val="32"/>
              </w:rPr>
              <w:t>15</w:t>
            </w:r>
            <w:r w:rsidRPr="0083422D">
              <w:rPr>
                <w:b/>
                <w:color w:val="44546A" w:themeColor="text2"/>
                <w:sz w:val="32"/>
                <w:szCs w:val="32"/>
              </w:rPr>
              <w:t> </w:t>
            </w:r>
            <w:r>
              <w:rPr>
                <w:b/>
                <w:color w:val="44546A" w:themeColor="text2"/>
                <w:sz w:val="32"/>
                <w:szCs w:val="32"/>
              </w:rPr>
              <w:t>0</w:t>
            </w:r>
            <w:r w:rsidRPr="0083422D">
              <w:rPr>
                <w:b/>
                <w:color w:val="44546A" w:themeColor="text2"/>
                <w:sz w:val="32"/>
                <w:szCs w:val="32"/>
              </w:rPr>
              <w:t>00 000</w:t>
            </w:r>
          </w:p>
        </w:tc>
      </w:tr>
      <w:tr w:rsidR="0031259E" w:rsidRPr="0083422D" w:rsidTr="0031259E">
        <w:trPr>
          <w:trHeight w:val="567"/>
        </w:trPr>
        <w:tc>
          <w:tcPr>
            <w:tcW w:w="3685" w:type="dxa"/>
            <w:vAlign w:val="center"/>
          </w:tcPr>
          <w:p w:rsidR="0031259E" w:rsidRPr="0083422D" w:rsidRDefault="0031259E" w:rsidP="0031259E">
            <w:pPr>
              <w:rPr>
                <w:color w:val="44546A" w:themeColor="text2"/>
                <w:sz w:val="32"/>
                <w:szCs w:val="32"/>
              </w:rPr>
            </w:pPr>
            <w:r w:rsidRPr="0083422D">
              <w:rPr>
                <w:color w:val="44546A" w:themeColor="text2"/>
                <w:sz w:val="32"/>
                <w:szCs w:val="32"/>
              </w:rPr>
              <w:t>Коэффициент К/З</w:t>
            </w:r>
            <w:r w:rsidRPr="0083422D">
              <w:rPr>
                <w:rStyle w:val="a7"/>
                <w:color w:val="44546A" w:themeColor="text2"/>
                <w:sz w:val="32"/>
                <w:szCs w:val="32"/>
                <w:vertAlign w:val="baseline"/>
              </w:rPr>
              <w:t xml:space="preserve"> </w:t>
            </w:r>
            <w:r w:rsidRPr="0083422D">
              <w:rPr>
                <w:rStyle w:val="a7"/>
                <w:color w:val="44546A" w:themeColor="text2"/>
                <w:sz w:val="32"/>
                <w:szCs w:val="32"/>
              </w:rPr>
              <w:footnoteReference w:id="4"/>
            </w:r>
          </w:p>
        </w:tc>
        <w:tc>
          <w:tcPr>
            <w:tcW w:w="2396" w:type="dxa"/>
            <w:vAlign w:val="center"/>
          </w:tcPr>
          <w:p w:rsidR="0031259E" w:rsidRPr="0083422D" w:rsidRDefault="0031259E" w:rsidP="0031259E">
            <w:pPr>
              <w:jc w:val="center"/>
              <w:rPr>
                <w:b/>
                <w:color w:val="44546A" w:themeColor="text2"/>
                <w:sz w:val="32"/>
                <w:szCs w:val="32"/>
              </w:rPr>
            </w:pPr>
            <w:r>
              <w:rPr>
                <w:b/>
                <w:color w:val="44546A" w:themeColor="text2"/>
                <w:sz w:val="32"/>
                <w:szCs w:val="32"/>
              </w:rPr>
              <w:t xml:space="preserve">От </w:t>
            </w:r>
            <w:r>
              <w:rPr>
                <w:b/>
                <w:color w:val="44546A" w:themeColor="text2"/>
                <w:sz w:val="32"/>
                <w:szCs w:val="32"/>
              </w:rPr>
              <w:t>80% до 85</w:t>
            </w:r>
            <w:r w:rsidRPr="0083422D">
              <w:rPr>
                <w:b/>
                <w:color w:val="44546A" w:themeColor="text2"/>
                <w:sz w:val="32"/>
                <w:szCs w:val="32"/>
              </w:rPr>
              <w:t>%</w:t>
            </w:r>
          </w:p>
        </w:tc>
        <w:tc>
          <w:tcPr>
            <w:tcW w:w="2268" w:type="dxa"/>
            <w:vAlign w:val="center"/>
          </w:tcPr>
          <w:p w:rsidR="0031259E" w:rsidRPr="0083422D" w:rsidRDefault="0031259E" w:rsidP="0031259E">
            <w:pPr>
              <w:jc w:val="center"/>
              <w:rPr>
                <w:b/>
                <w:color w:val="44546A" w:themeColor="text2"/>
                <w:sz w:val="32"/>
                <w:szCs w:val="32"/>
              </w:rPr>
            </w:pPr>
            <w:r>
              <w:rPr>
                <w:b/>
                <w:color w:val="44546A" w:themeColor="text2"/>
                <w:sz w:val="32"/>
                <w:szCs w:val="32"/>
              </w:rPr>
              <w:t>От 5</w:t>
            </w:r>
            <w:r w:rsidRPr="0083422D">
              <w:rPr>
                <w:b/>
                <w:color w:val="44546A" w:themeColor="text2"/>
                <w:sz w:val="32"/>
                <w:szCs w:val="32"/>
              </w:rPr>
              <w:t>0% до 80%</w:t>
            </w:r>
          </w:p>
        </w:tc>
        <w:tc>
          <w:tcPr>
            <w:tcW w:w="2087" w:type="dxa"/>
            <w:vAlign w:val="center"/>
          </w:tcPr>
          <w:p w:rsidR="0031259E" w:rsidRPr="0083422D" w:rsidRDefault="0031259E" w:rsidP="0031259E">
            <w:pPr>
              <w:jc w:val="center"/>
              <w:rPr>
                <w:b/>
                <w:color w:val="44546A" w:themeColor="text2"/>
                <w:sz w:val="32"/>
                <w:szCs w:val="32"/>
              </w:rPr>
            </w:pPr>
            <w:r w:rsidRPr="0083422D">
              <w:rPr>
                <w:b/>
                <w:color w:val="44546A" w:themeColor="text2"/>
                <w:sz w:val="32"/>
                <w:szCs w:val="32"/>
              </w:rPr>
              <w:t>До 50%</w:t>
            </w:r>
          </w:p>
        </w:tc>
      </w:tr>
      <w:tr w:rsidR="0031259E" w:rsidRPr="0083422D" w:rsidTr="0031259E">
        <w:trPr>
          <w:trHeight w:val="567"/>
        </w:trPr>
        <w:tc>
          <w:tcPr>
            <w:tcW w:w="3685" w:type="dxa"/>
            <w:vAlign w:val="center"/>
          </w:tcPr>
          <w:p w:rsidR="0031259E" w:rsidRPr="0083422D" w:rsidRDefault="0031259E" w:rsidP="0031259E">
            <w:pPr>
              <w:rPr>
                <w:color w:val="44546A" w:themeColor="text2"/>
                <w:sz w:val="32"/>
                <w:szCs w:val="32"/>
              </w:rPr>
            </w:pPr>
            <w:r w:rsidRPr="0083422D">
              <w:rPr>
                <w:color w:val="44546A" w:themeColor="text2"/>
                <w:sz w:val="32"/>
                <w:szCs w:val="32"/>
              </w:rPr>
              <w:t xml:space="preserve">Процентная ставка, % </w:t>
            </w:r>
            <w:proofErr w:type="gramStart"/>
            <w:r w:rsidRPr="0083422D">
              <w:rPr>
                <w:color w:val="44546A" w:themeColor="text2"/>
                <w:sz w:val="32"/>
                <w:szCs w:val="32"/>
              </w:rPr>
              <w:t>годовых</w:t>
            </w:r>
            <w:r w:rsidRPr="0083422D">
              <w:rPr>
                <w:rStyle w:val="a7"/>
                <w:color w:val="44546A" w:themeColor="text2"/>
                <w:sz w:val="32"/>
                <w:szCs w:val="32"/>
              </w:rPr>
              <w:footnoteReference w:id="5"/>
            </w:r>
            <w:r w:rsidRPr="0083422D">
              <w:rPr>
                <w:color w:val="44546A" w:themeColor="text2"/>
                <w:sz w:val="32"/>
                <w:szCs w:val="32"/>
                <w:vertAlign w:val="superscript"/>
              </w:rPr>
              <w:t>,</w:t>
            </w:r>
            <w:r w:rsidRPr="0083422D">
              <w:rPr>
                <w:rStyle w:val="a7"/>
                <w:color w:val="44546A" w:themeColor="text2"/>
                <w:sz w:val="32"/>
                <w:szCs w:val="32"/>
              </w:rPr>
              <w:footnoteReference w:id="6"/>
            </w:r>
            <w:r>
              <w:rPr>
                <w:color w:val="44546A" w:themeColor="text2"/>
                <w:sz w:val="32"/>
                <w:szCs w:val="32"/>
                <w:vertAlign w:val="superscript"/>
              </w:rPr>
              <w:t>,</w:t>
            </w:r>
            <w:proofErr w:type="gramEnd"/>
            <w:r>
              <w:rPr>
                <w:rStyle w:val="a7"/>
                <w:color w:val="44546A" w:themeColor="text2"/>
                <w:sz w:val="32"/>
                <w:szCs w:val="32"/>
              </w:rPr>
              <w:footnoteReference w:id="7"/>
            </w:r>
          </w:p>
        </w:tc>
        <w:tc>
          <w:tcPr>
            <w:tcW w:w="2396" w:type="dxa"/>
            <w:vAlign w:val="center"/>
          </w:tcPr>
          <w:p w:rsidR="0031259E" w:rsidRPr="0083422D" w:rsidRDefault="0031259E" w:rsidP="0031259E">
            <w:pPr>
              <w:jc w:val="center"/>
              <w:rPr>
                <w:b/>
                <w:color w:val="44546A" w:themeColor="text2"/>
                <w:sz w:val="32"/>
                <w:szCs w:val="32"/>
              </w:rPr>
            </w:pPr>
            <w:r>
              <w:rPr>
                <w:b/>
                <w:color w:val="44546A" w:themeColor="text2"/>
                <w:sz w:val="32"/>
                <w:szCs w:val="32"/>
              </w:rPr>
              <w:t>11,00%</w:t>
            </w:r>
          </w:p>
        </w:tc>
        <w:tc>
          <w:tcPr>
            <w:tcW w:w="2268" w:type="dxa"/>
            <w:vAlign w:val="center"/>
          </w:tcPr>
          <w:p w:rsidR="0031259E" w:rsidRPr="0083422D" w:rsidRDefault="0031259E" w:rsidP="0031259E">
            <w:pPr>
              <w:jc w:val="center"/>
              <w:rPr>
                <w:b/>
                <w:color w:val="44546A" w:themeColor="text2"/>
                <w:sz w:val="32"/>
                <w:szCs w:val="32"/>
              </w:rPr>
            </w:pPr>
            <w:r>
              <w:rPr>
                <w:b/>
                <w:color w:val="44546A" w:themeColor="text2"/>
                <w:sz w:val="32"/>
                <w:szCs w:val="32"/>
              </w:rPr>
              <w:t>10</w:t>
            </w:r>
            <w:r w:rsidRPr="0083422D">
              <w:rPr>
                <w:b/>
                <w:color w:val="44546A" w:themeColor="text2"/>
                <w:sz w:val="32"/>
                <w:szCs w:val="32"/>
              </w:rPr>
              <w:t>,</w:t>
            </w:r>
            <w:r>
              <w:rPr>
                <w:b/>
                <w:color w:val="44546A" w:themeColor="text2"/>
                <w:sz w:val="32"/>
                <w:szCs w:val="32"/>
              </w:rPr>
              <w:t>25</w:t>
            </w:r>
            <w:r w:rsidRPr="0083422D">
              <w:rPr>
                <w:b/>
                <w:color w:val="44546A" w:themeColor="text2"/>
                <w:sz w:val="32"/>
                <w:szCs w:val="32"/>
              </w:rPr>
              <w:t>%</w:t>
            </w:r>
          </w:p>
        </w:tc>
        <w:tc>
          <w:tcPr>
            <w:tcW w:w="2087" w:type="dxa"/>
            <w:vAlign w:val="center"/>
          </w:tcPr>
          <w:p w:rsidR="0031259E" w:rsidRPr="0083422D" w:rsidRDefault="0031259E" w:rsidP="0031259E">
            <w:pPr>
              <w:jc w:val="center"/>
              <w:rPr>
                <w:b/>
                <w:color w:val="44546A" w:themeColor="text2"/>
                <w:sz w:val="32"/>
                <w:szCs w:val="32"/>
              </w:rPr>
            </w:pPr>
            <w:r>
              <w:rPr>
                <w:b/>
                <w:color w:val="44546A" w:themeColor="text2"/>
                <w:sz w:val="32"/>
                <w:szCs w:val="32"/>
              </w:rPr>
              <w:t>9,90</w:t>
            </w:r>
            <w:r w:rsidRPr="0083422D">
              <w:rPr>
                <w:b/>
                <w:color w:val="44546A" w:themeColor="text2"/>
                <w:sz w:val="32"/>
                <w:szCs w:val="32"/>
              </w:rPr>
              <w:t>%</w:t>
            </w:r>
          </w:p>
        </w:tc>
      </w:tr>
    </w:tbl>
    <w:p w:rsidR="006537D0" w:rsidRPr="00846E4A" w:rsidRDefault="006537D0" w:rsidP="00846E4A">
      <w:pPr>
        <w:rPr>
          <w:sz w:val="12"/>
        </w:rPr>
      </w:pPr>
    </w:p>
    <w:sectPr w:rsidR="006537D0" w:rsidRPr="00846E4A" w:rsidSect="00B03C2B">
      <w:headerReference w:type="default" r:id="rId8"/>
      <w:footerReference w:type="default" r:id="rId9"/>
      <w:pgSz w:w="11906" w:h="16838" w:code="9"/>
      <w:pgMar w:top="567" w:right="720" w:bottom="567" w:left="720" w:header="170"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173" w:rsidRDefault="00002173" w:rsidP="00D509C8">
      <w:pPr>
        <w:spacing w:after="0" w:line="240" w:lineRule="auto"/>
      </w:pPr>
      <w:r>
        <w:separator/>
      </w:r>
    </w:p>
  </w:endnote>
  <w:endnote w:type="continuationSeparator" w:id="0">
    <w:p w:rsidR="00002173" w:rsidRDefault="00002173" w:rsidP="00D50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7D0" w:rsidRDefault="00B03C2B">
    <w:pPr>
      <w:pStyle w:val="aa"/>
    </w:pPr>
    <w:r>
      <w:rPr>
        <w:noProof/>
        <w:lang w:eastAsia="ru-RU"/>
      </w:rPr>
      <w:drawing>
        <wp:anchor distT="0" distB="0" distL="114300" distR="114300" simplePos="0" relativeHeight="251659264" behindDoc="1" locked="0" layoutInCell="1" allowOverlap="1" wp14:anchorId="5584619D" wp14:editId="52A19A34">
          <wp:simplePos x="0" y="0"/>
          <wp:positionH relativeFrom="margin">
            <wp:posOffset>3000375</wp:posOffset>
          </wp:positionH>
          <wp:positionV relativeFrom="paragraph">
            <wp:posOffset>-38100</wp:posOffset>
          </wp:positionV>
          <wp:extent cx="3633470" cy="676910"/>
          <wp:effectExtent l="0" t="0" r="5080" b="889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3470" cy="6769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173" w:rsidRDefault="00002173" w:rsidP="00D509C8">
      <w:pPr>
        <w:spacing w:after="0" w:line="240" w:lineRule="auto"/>
      </w:pPr>
      <w:r>
        <w:separator/>
      </w:r>
    </w:p>
  </w:footnote>
  <w:footnote w:type="continuationSeparator" w:id="0">
    <w:p w:rsidR="00002173" w:rsidRDefault="00002173" w:rsidP="00D509C8">
      <w:pPr>
        <w:spacing w:after="0" w:line="240" w:lineRule="auto"/>
      </w:pPr>
      <w:r>
        <w:continuationSeparator/>
      </w:r>
    </w:p>
  </w:footnote>
  <w:footnote w:id="1">
    <w:p w:rsidR="00C40BA9" w:rsidRDefault="00C40BA9" w:rsidP="00C40BA9">
      <w:pPr>
        <w:pStyle w:val="a5"/>
        <w:jc w:val="both"/>
      </w:pPr>
      <w:r w:rsidRPr="00C40BA9">
        <w:rPr>
          <w:rStyle w:val="a7"/>
          <w:color w:val="002060"/>
          <w:sz w:val="22"/>
          <w:szCs w:val="17"/>
        </w:rPr>
        <w:footnoteRef/>
      </w:r>
      <w:r w:rsidRPr="00C40BA9">
        <w:rPr>
          <w:rStyle w:val="a7"/>
          <w:color w:val="002060"/>
          <w:sz w:val="22"/>
          <w:szCs w:val="17"/>
        </w:rPr>
        <w:t xml:space="preserve"> </w:t>
      </w:r>
      <w:r w:rsidRPr="00C40BA9">
        <w:rPr>
          <w:color w:val="002060"/>
          <w:sz w:val="22"/>
          <w:szCs w:val="17"/>
        </w:rPr>
        <w:t>Тарифы распространяютс</w:t>
      </w:r>
      <w:r w:rsidR="00E66425">
        <w:rPr>
          <w:color w:val="002060"/>
          <w:sz w:val="22"/>
          <w:szCs w:val="17"/>
        </w:rPr>
        <w:t xml:space="preserve">я на ипотечные займы, </w:t>
      </w:r>
      <w:r w:rsidR="00846E4A">
        <w:rPr>
          <w:color w:val="002060"/>
          <w:sz w:val="22"/>
          <w:szCs w:val="17"/>
        </w:rPr>
        <w:t xml:space="preserve">договора займа по которым </w:t>
      </w:r>
      <w:r w:rsidR="0011021E">
        <w:rPr>
          <w:color w:val="002060"/>
          <w:sz w:val="22"/>
          <w:szCs w:val="17"/>
        </w:rPr>
        <w:t>заключены</w:t>
      </w:r>
      <w:r w:rsidR="00846E4A">
        <w:rPr>
          <w:color w:val="002060"/>
          <w:sz w:val="22"/>
          <w:szCs w:val="17"/>
        </w:rPr>
        <w:t xml:space="preserve"> </w:t>
      </w:r>
      <w:r w:rsidR="0011021E">
        <w:rPr>
          <w:color w:val="002060"/>
          <w:sz w:val="22"/>
          <w:szCs w:val="17"/>
        </w:rPr>
        <w:t>с</w:t>
      </w:r>
      <w:r w:rsidRPr="00C40BA9">
        <w:rPr>
          <w:color w:val="002060"/>
          <w:sz w:val="22"/>
          <w:szCs w:val="17"/>
        </w:rPr>
        <w:t xml:space="preserve"> </w:t>
      </w:r>
      <w:r w:rsidR="0011021E">
        <w:rPr>
          <w:color w:val="002060"/>
          <w:sz w:val="22"/>
          <w:szCs w:val="17"/>
        </w:rPr>
        <w:t>2</w:t>
      </w:r>
      <w:r w:rsidR="0031259E">
        <w:rPr>
          <w:color w:val="002060"/>
          <w:sz w:val="22"/>
          <w:szCs w:val="17"/>
        </w:rPr>
        <w:t>8</w:t>
      </w:r>
      <w:r w:rsidR="005E1CB1">
        <w:rPr>
          <w:color w:val="002060"/>
          <w:sz w:val="22"/>
          <w:szCs w:val="17"/>
        </w:rPr>
        <w:t>.</w:t>
      </w:r>
      <w:r w:rsidR="0031259E">
        <w:rPr>
          <w:color w:val="002060"/>
          <w:sz w:val="22"/>
          <w:szCs w:val="17"/>
        </w:rPr>
        <w:t>11</w:t>
      </w:r>
      <w:bookmarkStart w:id="0" w:name="_GoBack"/>
      <w:bookmarkEnd w:id="0"/>
      <w:r w:rsidR="005E1CB1">
        <w:rPr>
          <w:color w:val="002060"/>
          <w:sz w:val="22"/>
          <w:szCs w:val="17"/>
        </w:rPr>
        <w:t>.201</w:t>
      </w:r>
      <w:r w:rsidR="009467FF">
        <w:rPr>
          <w:color w:val="002060"/>
          <w:sz w:val="22"/>
          <w:szCs w:val="17"/>
        </w:rPr>
        <w:t>8</w:t>
      </w:r>
      <w:r w:rsidR="005E1CB1">
        <w:rPr>
          <w:color w:val="002060"/>
          <w:sz w:val="22"/>
          <w:szCs w:val="17"/>
        </w:rPr>
        <w:t>г</w:t>
      </w:r>
      <w:r w:rsidRPr="00C40BA9">
        <w:rPr>
          <w:color w:val="002060"/>
          <w:sz w:val="22"/>
          <w:szCs w:val="17"/>
        </w:rPr>
        <w:t>.</w:t>
      </w:r>
    </w:p>
  </w:footnote>
  <w:footnote w:id="2">
    <w:p w:rsidR="00CD7FA8" w:rsidRDefault="00F31FC0" w:rsidP="002F1732">
      <w:pPr>
        <w:pStyle w:val="a5"/>
        <w:jc w:val="both"/>
        <w:rPr>
          <w:color w:val="002060"/>
          <w:sz w:val="22"/>
          <w:szCs w:val="17"/>
        </w:rPr>
      </w:pPr>
      <w:r w:rsidRPr="00FE76F3">
        <w:rPr>
          <w:rStyle w:val="a7"/>
          <w:color w:val="002060"/>
          <w:sz w:val="22"/>
          <w:szCs w:val="17"/>
        </w:rPr>
        <w:footnoteRef/>
      </w:r>
      <w:r w:rsidRPr="00FE76F3">
        <w:rPr>
          <w:rStyle w:val="a7"/>
          <w:color w:val="002060"/>
          <w:sz w:val="22"/>
          <w:szCs w:val="17"/>
        </w:rPr>
        <w:t xml:space="preserve"> </w:t>
      </w:r>
      <w:r w:rsidRPr="00FE76F3">
        <w:rPr>
          <w:color w:val="002060"/>
          <w:sz w:val="22"/>
          <w:szCs w:val="17"/>
        </w:rPr>
        <w:t xml:space="preserve">В рамках тарифов заем предоставляется на </w:t>
      </w:r>
      <w:r w:rsidR="00CD7FA8">
        <w:rPr>
          <w:color w:val="002060"/>
          <w:sz w:val="22"/>
          <w:szCs w:val="17"/>
        </w:rPr>
        <w:t xml:space="preserve">следующие </w:t>
      </w:r>
      <w:r w:rsidRPr="00FE76F3">
        <w:rPr>
          <w:color w:val="002060"/>
          <w:sz w:val="22"/>
          <w:szCs w:val="17"/>
        </w:rPr>
        <w:t>цели</w:t>
      </w:r>
      <w:r w:rsidR="00CD7FA8">
        <w:rPr>
          <w:color w:val="002060"/>
          <w:sz w:val="22"/>
          <w:szCs w:val="17"/>
        </w:rPr>
        <w:t>:</w:t>
      </w:r>
    </w:p>
    <w:p w:rsidR="00456120" w:rsidRPr="00FE76F3" w:rsidRDefault="00CD7FA8" w:rsidP="002F1732">
      <w:pPr>
        <w:pStyle w:val="a5"/>
        <w:jc w:val="both"/>
        <w:rPr>
          <w:color w:val="002060"/>
          <w:sz w:val="22"/>
          <w:szCs w:val="17"/>
        </w:rPr>
      </w:pPr>
      <w:r>
        <w:rPr>
          <w:color w:val="002060"/>
          <w:sz w:val="22"/>
          <w:szCs w:val="17"/>
        </w:rPr>
        <w:t>1)</w:t>
      </w:r>
      <w:r w:rsidR="00F31FC0" w:rsidRPr="00FE76F3">
        <w:rPr>
          <w:color w:val="002060"/>
          <w:sz w:val="22"/>
          <w:szCs w:val="17"/>
        </w:rPr>
        <w:t xml:space="preserve"> </w:t>
      </w:r>
      <w:r>
        <w:rPr>
          <w:color w:val="002060"/>
          <w:sz w:val="22"/>
          <w:szCs w:val="17"/>
        </w:rPr>
        <w:t xml:space="preserve">полное </w:t>
      </w:r>
      <w:r w:rsidR="00456120" w:rsidRPr="00FE76F3">
        <w:rPr>
          <w:color w:val="002060"/>
          <w:sz w:val="22"/>
          <w:szCs w:val="17"/>
        </w:rPr>
        <w:t>погашени</w:t>
      </w:r>
      <w:r>
        <w:rPr>
          <w:color w:val="002060"/>
          <w:sz w:val="22"/>
          <w:szCs w:val="17"/>
        </w:rPr>
        <w:t>е</w:t>
      </w:r>
      <w:r w:rsidR="00456120" w:rsidRPr="00FE76F3">
        <w:rPr>
          <w:color w:val="002060"/>
          <w:sz w:val="22"/>
          <w:szCs w:val="17"/>
        </w:rPr>
        <w:t xml:space="preserve"> задолженности по действующему ипотечному кредиту / займу, ранее выданному заемщику </w:t>
      </w:r>
      <w:r w:rsidR="008F7D44" w:rsidRPr="00FE76F3">
        <w:rPr>
          <w:color w:val="002060"/>
          <w:sz w:val="22"/>
          <w:szCs w:val="17"/>
        </w:rPr>
        <w:t xml:space="preserve">(далее - предшествующий кредит) </w:t>
      </w:r>
      <w:r w:rsidR="001340D8">
        <w:rPr>
          <w:color w:val="002060"/>
          <w:sz w:val="22"/>
          <w:szCs w:val="17"/>
        </w:rPr>
        <w:t xml:space="preserve">предшествующим кредитором / займодавцем </w:t>
      </w:r>
      <w:r w:rsidR="00456120" w:rsidRPr="00FE76F3">
        <w:rPr>
          <w:color w:val="002060"/>
          <w:sz w:val="22"/>
          <w:szCs w:val="17"/>
        </w:rPr>
        <w:t>на цели:</w:t>
      </w:r>
    </w:p>
    <w:p w:rsidR="00456120" w:rsidRPr="00FE76F3" w:rsidRDefault="00456120" w:rsidP="002F1732">
      <w:pPr>
        <w:pStyle w:val="a5"/>
        <w:jc w:val="both"/>
        <w:rPr>
          <w:color w:val="002060"/>
          <w:sz w:val="22"/>
          <w:szCs w:val="17"/>
        </w:rPr>
      </w:pPr>
      <w:r w:rsidRPr="00FE76F3">
        <w:rPr>
          <w:color w:val="002060"/>
          <w:sz w:val="22"/>
          <w:szCs w:val="17"/>
        </w:rPr>
        <w:t xml:space="preserve">- </w:t>
      </w:r>
      <w:r w:rsidR="00F31FC0" w:rsidRPr="00FE76F3">
        <w:rPr>
          <w:color w:val="002060"/>
          <w:sz w:val="22"/>
          <w:szCs w:val="17"/>
        </w:rPr>
        <w:t xml:space="preserve">приобретения </w:t>
      </w:r>
      <w:r w:rsidRPr="00FE76F3">
        <w:rPr>
          <w:color w:val="002060"/>
          <w:sz w:val="22"/>
          <w:szCs w:val="17"/>
        </w:rPr>
        <w:t xml:space="preserve">квартиры </w:t>
      </w:r>
      <w:r w:rsidR="00CD7FA8">
        <w:rPr>
          <w:color w:val="002060"/>
          <w:sz w:val="22"/>
          <w:szCs w:val="17"/>
        </w:rPr>
        <w:t>или апартаментов</w:t>
      </w:r>
      <w:r w:rsidRPr="00FE76F3">
        <w:rPr>
          <w:color w:val="002060"/>
          <w:sz w:val="22"/>
          <w:szCs w:val="17"/>
        </w:rPr>
        <w:t>;</w:t>
      </w:r>
    </w:p>
    <w:p w:rsidR="000217DC" w:rsidRDefault="00456120" w:rsidP="002F1732">
      <w:pPr>
        <w:pStyle w:val="a5"/>
        <w:jc w:val="both"/>
        <w:rPr>
          <w:color w:val="002060"/>
          <w:sz w:val="22"/>
          <w:szCs w:val="17"/>
        </w:rPr>
      </w:pPr>
      <w:r w:rsidRPr="00FE76F3">
        <w:rPr>
          <w:color w:val="002060"/>
          <w:sz w:val="22"/>
          <w:szCs w:val="17"/>
        </w:rPr>
        <w:t xml:space="preserve">- </w:t>
      </w:r>
      <w:r w:rsidR="00CD7FA8" w:rsidRPr="00CD7FA8">
        <w:rPr>
          <w:color w:val="002060"/>
          <w:sz w:val="22"/>
          <w:szCs w:val="17"/>
        </w:rPr>
        <w:t>приобретения к</w:t>
      </w:r>
      <w:r w:rsidR="00CD7FA8">
        <w:rPr>
          <w:color w:val="002060"/>
          <w:sz w:val="22"/>
          <w:szCs w:val="17"/>
        </w:rPr>
        <w:t xml:space="preserve">вартиры или </w:t>
      </w:r>
      <w:r w:rsidR="00CD7FA8" w:rsidRPr="00CD7FA8">
        <w:rPr>
          <w:color w:val="002060"/>
          <w:sz w:val="22"/>
          <w:szCs w:val="17"/>
        </w:rPr>
        <w:t>апартаментов и капитального ремонта или иных неотделимых улучшений предмета ипотеки</w:t>
      </w:r>
      <w:r w:rsidR="007E5BD9" w:rsidRPr="00FE76F3">
        <w:rPr>
          <w:color w:val="002060"/>
          <w:sz w:val="22"/>
          <w:szCs w:val="17"/>
        </w:rPr>
        <w:t>.</w:t>
      </w:r>
    </w:p>
    <w:p w:rsidR="00CD7FA8" w:rsidRDefault="00CD7FA8" w:rsidP="002F1732">
      <w:pPr>
        <w:pStyle w:val="a5"/>
        <w:jc w:val="both"/>
        <w:rPr>
          <w:color w:val="002060"/>
          <w:sz w:val="22"/>
          <w:szCs w:val="17"/>
        </w:rPr>
      </w:pPr>
      <w:r>
        <w:rPr>
          <w:color w:val="002060"/>
          <w:sz w:val="22"/>
          <w:szCs w:val="17"/>
        </w:rPr>
        <w:t>2) п</w:t>
      </w:r>
      <w:r w:rsidRPr="00CD7FA8">
        <w:rPr>
          <w:color w:val="002060"/>
          <w:sz w:val="22"/>
          <w:szCs w:val="17"/>
        </w:rPr>
        <w:t>олное погашение задолженности по действующему ипотечному кредиту (займу) согласно п. 1, а также капитальный ремонт и иные неотделимые улучшения предмета ипотеки</w:t>
      </w:r>
      <w:r>
        <w:rPr>
          <w:color w:val="002060"/>
          <w:sz w:val="22"/>
          <w:szCs w:val="17"/>
        </w:rPr>
        <w:t>.</w:t>
      </w:r>
    </w:p>
    <w:p w:rsidR="00CD7FA8" w:rsidRPr="00FE76F3" w:rsidRDefault="00CD7FA8" w:rsidP="002F1732">
      <w:pPr>
        <w:pStyle w:val="a5"/>
        <w:jc w:val="both"/>
        <w:rPr>
          <w:color w:val="002060"/>
          <w:sz w:val="22"/>
          <w:szCs w:val="17"/>
        </w:rPr>
      </w:pPr>
      <w:r w:rsidRPr="00CD7FA8">
        <w:rPr>
          <w:color w:val="002060"/>
          <w:sz w:val="22"/>
          <w:szCs w:val="17"/>
        </w:rPr>
        <w:t>Приобретение квартиры на этапе строительства возможно любым способом, предусмотренным законодательством Российской Федерации</w:t>
      </w:r>
      <w:r>
        <w:rPr>
          <w:color w:val="002060"/>
          <w:sz w:val="22"/>
          <w:szCs w:val="17"/>
        </w:rPr>
        <w:t>, при этом погашение задолженности до завершения строительства возможно только при приобретении объекта в рамках 214-ФЗ (по договору участия в долевом строительстве / договору уступки прав требований). Строящийся объект должен быть аккредитован АО «</w:t>
      </w:r>
      <w:r w:rsidR="002477EF">
        <w:rPr>
          <w:color w:val="002060"/>
          <w:sz w:val="22"/>
          <w:szCs w:val="17"/>
        </w:rPr>
        <w:t>ДОМ.РФ</w:t>
      </w:r>
      <w:r>
        <w:rPr>
          <w:color w:val="002060"/>
          <w:sz w:val="22"/>
          <w:szCs w:val="17"/>
        </w:rPr>
        <w:t>».</w:t>
      </w:r>
    </w:p>
  </w:footnote>
  <w:footnote w:id="3">
    <w:p w:rsidR="0031259E" w:rsidRPr="003A4DE3" w:rsidRDefault="0031259E" w:rsidP="002F1732">
      <w:pPr>
        <w:pStyle w:val="a5"/>
        <w:jc w:val="both"/>
        <w:rPr>
          <w:color w:val="002060"/>
          <w:sz w:val="22"/>
          <w:szCs w:val="17"/>
        </w:rPr>
      </w:pPr>
      <w:r w:rsidRPr="00FE76F3">
        <w:rPr>
          <w:rStyle w:val="a7"/>
          <w:color w:val="002060"/>
          <w:sz w:val="22"/>
          <w:szCs w:val="17"/>
        </w:rPr>
        <w:footnoteRef/>
      </w:r>
      <w:r w:rsidRPr="00FE76F3">
        <w:rPr>
          <w:sz w:val="28"/>
        </w:rPr>
        <w:t xml:space="preserve"> </w:t>
      </w:r>
      <w:r w:rsidRPr="003B6767">
        <w:rPr>
          <w:color w:val="002060"/>
          <w:sz w:val="22"/>
          <w:szCs w:val="17"/>
        </w:rPr>
        <w:t>В случае недостаточности максимальной суммы ипотечного кредита (займа) для погашения всех обязательств заемщика по предшествующему ипотечному кредиту, ипотечный кредит (заем) выдается только при условии, что недостающую сумму заемщик вносит за счет собственных средств</w:t>
      </w:r>
      <w:r>
        <w:rPr>
          <w:color w:val="002060"/>
          <w:sz w:val="22"/>
          <w:szCs w:val="17"/>
        </w:rPr>
        <w:t>.</w:t>
      </w:r>
    </w:p>
  </w:footnote>
  <w:footnote w:id="4">
    <w:p w:rsidR="0031259E" w:rsidRPr="00FE76F3" w:rsidRDefault="0031259E" w:rsidP="002F1732">
      <w:pPr>
        <w:pStyle w:val="a5"/>
        <w:jc w:val="both"/>
        <w:rPr>
          <w:color w:val="002060"/>
          <w:sz w:val="22"/>
          <w:szCs w:val="17"/>
        </w:rPr>
      </w:pPr>
      <w:r w:rsidRPr="00FE76F3">
        <w:rPr>
          <w:rStyle w:val="a7"/>
          <w:color w:val="002060"/>
          <w:sz w:val="22"/>
          <w:szCs w:val="17"/>
        </w:rPr>
        <w:footnoteRef/>
      </w:r>
      <w:r w:rsidRPr="00FE76F3">
        <w:rPr>
          <w:color w:val="002060"/>
          <w:sz w:val="22"/>
          <w:szCs w:val="17"/>
        </w:rPr>
        <w:t xml:space="preserve"> Коэффициент К/З определяется как отношение суммы займа, выданного на погашение предшествующего кредита, к рыночной стоимости имущества, передаваемого в залог.  Нижняя граница диапазона по коэффициенту К/З исключается из него, верхняя – включается.</w:t>
      </w:r>
    </w:p>
  </w:footnote>
  <w:footnote w:id="5">
    <w:p w:rsidR="0031259E" w:rsidRPr="00FE76F3" w:rsidRDefault="0031259E" w:rsidP="002F1732">
      <w:pPr>
        <w:pStyle w:val="a5"/>
        <w:jc w:val="both"/>
        <w:rPr>
          <w:sz w:val="22"/>
          <w:szCs w:val="17"/>
        </w:rPr>
      </w:pPr>
      <w:r w:rsidRPr="00FE76F3">
        <w:rPr>
          <w:color w:val="002060"/>
          <w:sz w:val="22"/>
          <w:szCs w:val="17"/>
          <w:vertAlign w:val="superscript"/>
        </w:rPr>
        <w:footnoteRef/>
      </w:r>
      <w:r w:rsidRPr="00FE76F3">
        <w:rPr>
          <w:color w:val="002060"/>
          <w:sz w:val="22"/>
          <w:szCs w:val="17"/>
        </w:rPr>
        <w:t xml:space="preserve"> Процентная ставка увеличивается на 0,7 п.п. в случае отказа от оформления либо пролонгации договора страхования имущественных интересов, связанных с причинением время жизни и здоровью в результате несчастного случая и/или болезни (личное страхование).</w:t>
      </w:r>
      <w:r w:rsidRPr="00FE76F3">
        <w:rPr>
          <w:sz w:val="22"/>
          <w:szCs w:val="17"/>
        </w:rPr>
        <w:t xml:space="preserve"> </w:t>
      </w:r>
    </w:p>
  </w:footnote>
  <w:footnote w:id="6">
    <w:p w:rsidR="0031259E" w:rsidRPr="00C51EFA" w:rsidRDefault="0031259E" w:rsidP="00831D47">
      <w:pPr>
        <w:pStyle w:val="a5"/>
        <w:jc w:val="both"/>
        <w:rPr>
          <w:sz w:val="24"/>
        </w:rPr>
      </w:pPr>
      <w:r w:rsidRPr="00FE76F3">
        <w:rPr>
          <w:color w:val="002060"/>
          <w:sz w:val="22"/>
          <w:szCs w:val="17"/>
          <w:vertAlign w:val="superscript"/>
        </w:rPr>
        <w:footnoteRef/>
      </w:r>
      <w:r w:rsidRPr="00FE76F3">
        <w:rPr>
          <w:sz w:val="28"/>
        </w:rPr>
        <w:t xml:space="preserve"> </w:t>
      </w:r>
      <w:r w:rsidRPr="00FE76F3">
        <w:rPr>
          <w:color w:val="002060"/>
          <w:sz w:val="22"/>
          <w:szCs w:val="17"/>
        </w:rPr>
        <w:t xml:space="preserve">Процентная ставка увеличивается на 0,5 п.п. в случае </w:t>
      </w:r>
      <w:r>
        <w:rPr>
          <w:color w:val="002060"/>
          <w:sz w:val="22"/>
          <w:szCs w:val="17"/>
        </w:rPr>
        <w:t>применения опции «Легкая ипотека».</w:t>
      </w:r>
    </w:p>
  </w:footnote>
  <w:footnote w:id="7">
    <w:p w:rsidR="0031259E" w:rsidRPr="003B6767" w:rsidRDefault="0031259E" w:rsidP="00831D47">
      <w:pPr>
        <w:pStyle w:val="a5"/>
        <w:jc w:val="both"/>
        <w:rPr>
          <w:vertAlign w:val="superscript"/>
        </w:rPr>
      </w:pPr>
      <w:r w:rsidRPr="003B6767">
        <w:rPr>
          <w:color w:val="002060"/>
          <w:sz w:val="22"/>
          <w:szCs w:val="17"/>
          <w:vertAlign w:val="superscript"/>
        </w:rPr>
        <w:footnoteRef/>
      </w:r>
      <w:r w:rsidRPr="003B6767">
        <w:rPr>
          <w:color w:val="002060"/>
          <w:sz w:val="22"/>
          <w:szCs w:val="17"/>
          <w:vertAlign w:val="superscript"/>
        </w:rPr>
        <w:t xml:space="preserve"> </w:t>
      </w:r>
      <w:r w:rsidRPr="003B6767">
        <w:rPr>
          <w:color w:val="002060"/>
          <w:sz w:val="22"/>
          <w:szCs w:val="17"/>
        </w:rPr>
        <w:t>С даты выдачи ипотечного займа в течение первых двух календарных месяцев процентная ставка может быть увеличена на 2 п.п. относительно базовой ставки.</w:t>
      </w:r>
      <w:r>
        <w:rPr>
          <w:color w:val="002060"/>
          <w:sz w:val="22"/>
          <w:szCs w:val="17"/>
        </w:rPr>
        <w:t xml:space="preserve"> </w:t>
      </w:r>
      <w:r w:rsidRPr="003B6767">
        <w:rPr>
          <w:color w:val="002060"/>
          <w:sz w:val="22"/>
          <w:szCs w:val="17"/>
        </w:rPr>
        <w:t>В случае отсутствия факта государственной регистрации залога в пользу нового кредитора в течение 2 (двух) календарных месяцев с даты выдачи ипотечного займа процентная ставка с первого числа третьего календарного месяца может быть увеличена на 6 п.п. относительно базовой ставки</w:t>
      </w:r>
      <w:r>
        <w:rPr>
          <w:color w:val="002060"/>
          <w:sz w:val="22"/>
          <w:szCs w:val="17"/>
        </w:rPr>
        <w:t xml:space="preserve">. </w:t>
      </w:r>
      <w:r w:rsidRPr="00831D47">
        <w:rPr>
          <w:color w:val="002060"/>
          <w:sz w:val="22"/>
          <w:szCs w:val="17"/>
        </w:rPr>
        <w:t>С первого числа месяца, следующего за месяцем регистрации ипотеки в пользу нового кредитора, процентная ставка устанавливается на уровне базовой ставки</w:t>
      </w:r>
      <w:r>
        <w:rPr>
          <w:color w:val="002060"/>
          <w:sz w:val="22"/>
          <w:szCs w:val="17"/>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4"/>
      <w:tblW w:w="698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3854"/>
    </w:tblGrid>
    <w:tr w:rsidR="00B03C2B" w:rsidRPr="00A40CB6" w:rsidTr="00550AEF">
      <w:tc>
        <w:tcPr>
          <w:tcW w:w="3126" w:type="dxa"/>
        </w:tcPr>
        <w:p w:rsidR="00B03C2B" w:rsidRDefault="00B03C2B" w:rsidP="00B03C2B">
          <w:pPr>
            <w:pStyle w:val="af"/>
            <w:rPr>
              <w:b/>
              <w:smallCaps/>
              <w:color w:val="2E74B5" w:themeColor="accent1" w:themeShade="BF"/>
              <w:sz w:val="24"/>
              <w:szCs w:val="24"/>
              <w:lang w:val="ru-RU"/>
            </w:rPr>
          </w:pPr>
          <w:r>
            <w:rPr>
              <w:b/>
              <w:smallCaps/>
              <w:noProof/>
              <w:color w:val="2E74B5" w:themeColor="accent1" w:themeShade="BF"/>
              <w:sz w:val="24"/>
              <w:szCs w:val="24"/>
              <w:lang w:val="ru-RU" w:eastAsia="ru-RU"/>
            </w:rPr>
            <w:drawing>
              <wp:inline distT="0" distB="0" distL="0" distR="0" wp14:anchorId="348F09DE" wp14:editId="6E7A6B5A">
                <wp:extent cx="1847215" cy="469265"/>
                <wp:effectExtent l="0" t="0" r="63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69265"/>
                        </a:xfrm>
                        <a:prstGeom prst="rect">
                          <a:avLst/>
                        </a:prstGeom>
                        <a:noFill/>
                      </pic:spPr>
                    </pic:pic>
                  </a:graphicData>
                </a:graphic>
              </wp:inline>
            </w:drawing>
          </w:r>
        </w:p>
      </w:tc>
      <w:tc>
        <w:tcPr>
          <w:tcW w:w="3854" w:type="dxa"/>
          <w:tcBorders>
            <w:bottom w:val="single" w:sz="4" w:space="0" w:color="5B9BD5" w:themeColor="accent1"/>
          </w:tcBorders>
          <w:vAlign w:val="center"/>
        </w:tcPr>
        <w:p w:rsidR="00550AEF" w:rsidRDefault="00B03C2B" w:rsidP="00B03C2B">
          <w:pPr>
            <w:pStyle w:val="af"/>
            <w:rPr>
              <w:b/>
              <w:smallCaps/>
              <w:color w:val="2E74B5" w:themeColor="accent1" w:themeShade="BF"/>
              <w:sz w:val="16"/>
              <w:szCs w:val="16"/>
              <w:lang w:val="ru-RU"/>
            </w:rPr>
          </w:pPr>
          <w:r w:rsidRPr="00030C82">
            <w:rPr>
              <w:b/>
              <w:smallCaps/>
              <w:color w:val="2E74B5" w:themeColor="accent1" w:themeShade="BF"/>
              <w:sz w:val="16"/>
              <w:szCs w:val="16"/>
              <w:lang w:val="ru-RU"/>
            </w:rPr>
            <w:t>АКЦИОНЕРНОЕ ОБЩЕСТВО</w:t>
          </w:r>
        </w:p>
        <w:p w:rsidR="00B03C2B" w:rsidRPr="00030C82" w:rsidRDefault="00550AEF" w:rsidP="00B03C2B">
          <w:pPr>
            <w:pStyle w:val="af"/>
            <w:rPr>
              <w:b/>
              <w:smallCaps/>
              <w:color w:val="2E74B5" w:themeColor="accent1" w:themeShade="BF"/>
              <w:sz w:val="16"/>
              <w:szCs w:val="16"/>
              <w:lang w:val="ru-RU"/>
            </w:rPr>
          </w:pPr>
          <w:r>
            <w:rPr>
              <w:b/>
              <w:smallCaps/>
              <w:color w:val="2E74B5" w:themeColor="accent1" w:themeShade="BF"/>
              <w:sz w:val="16"/>
              <w:szCs w:val="16"/>
              <w:lang w:val="ru-RU"/>
            </w:rPr>
            <w:t>СПЕЦИАЛИЗИРОВАННЫЙ ЗАСТРОЙЩИК</w:t>
          </w:r>
          <w:r w:rsidR="00B03C2B" w:rsidRPr="00030C82">
            <w:rPr>
              <w:b/>
              <w:smallCaps/>
              <w:color w:val="2E74B5" w:themeColor="accent1" w:themeShade="BF"/>
              <w:sz w:val="16"/>
              <w:szCs w:val="16"/>
              <w:lang w:val="ru-RU"/>
            </w:rPr>
            <w:t xml:space="preserve"> </w:t>
          </w:r>
        </w:p>
        <w:p w:rsidR="00B03C2B" w:rsidRPr="00030C82" w:rsidRDefault="00B03C2B" w:rsidP="00B03C2B">
          <w:pPr>
            <w:pStyle w:val="af"/>
            <w:rPr>
              <w:b/>
              <w:smallCaps/>
              <w:color w:val="2E74B5" w:themeColor="accent1" w:themeShade="BF"/>
              <w:sz w:val="16"/>
              <w:szCs w:val="16"/>
              <w:lang w:val="ru-RU"/>
            </w:rPr>
          </w:pPr>
          <w:r w:rsidRPr="00030C82">
            <w:rPr>
              <w:b/>
              <w:smallCaps/>
              <w:color w:val="2E74B5" w:themeColor="accent1" w:themeShade="BF"/>
              <w:sz w:val="16"/>
              <w:szCs w:val="16"/>
              <w:lang w:val="ru-RU"/>
            </w:rPr>
            <w:t xml:space="preserve">«УФИМСКОЕ </w:t>
          </w:r>
          <w:r w:rsidRPr="00A40CB6">
            <w:rPr>
              <w:b/>
              <w:smallCaps/>
              <w:color w:val="2E74B5" w:themeColor="accent1" w:themeShade="BF"/>
              <w:sz w:val="16"/>
              <w:szCs w:val="16"/>
              <w:lang w:val="ru-RU"/>
            </w:rPr>
            <w:t>ГОРОДСКОЕ</w:t>
          </w:r>
          <w:r w:rsidRPr="00030C82">
            <w:rPr>
              <w:b/>
              <w:smallCaps/>
              <w:color w:val="2E74B5" w:themeColor="accent1" w:themeShade="BF"/>
              <w:sz w:val="16"/>
              <w:szCs w:val="16"/>
              <w:lang w:val="ru-RU"/>
            </w:rPr>
            <w:t xml:space="preserve"> АГЕНТСТВО </w:t>
          </w:r>
        </w:p>
        <w:p w:rsidR="00B03C2B" w:rsidRDefault="00E66425" w:rsidP="00B03C2B">
          <w:pPr>
            <w:pStyle w:val="af"/>
            <w:rPr>
              <w:b/>
              <w:smallCaps/>
              <w:color w:val="2E74B5" w:themeColor="accent1" w:themeShade="BF"/>
              <w:sz w:val="24"/>
              <w:szCs w:val="24"/>
              <w:lang w:val="ru-RU"/>
            </w:rPr>
          </w:pPr>
          <w:r>
            <w:rPr>
              <w:b/>
              <w:smallCaps/>
              <w:color w:val="2E74B5" w:themeColor="accent1" w:themeShade="BF"/>
              <w:sz w:val="16"/>
              <w:szCs w:val="16"/>
              <w:lang w:val="ru-RU"/>
            </w:rPr>
            <w:t>ИПОТЕЧНОГО КРЕДИТОВАНИЯ» (</w:t>
          </w:r>
          <w:r w:rsidR="00B03C2B" w:rsidRPr="00030C82">
            <w:rPr>
              <w:b/>
              <w:smallCaps/>
              <w:color w:val="2E74B5" w:themeColor="accent1" w:themeShade="BF"/>
              <w:sz w:val="16"/>
              <w:szCs w:val="16"/>
              <w:lang w:val="ru-RU"/>
            </w:rPr>
            <w:t>АО</w:t>
          </w:r>
          <w:r w:rsidR="00550AEF">
            <w:rPr>
              <w:b/>
              <w:smallCaps/>
              <w:color w:val="2E74B5" w:themeColor="accent1" w:themeShade="BF"/>
              <w:sz w:val="16"/>
              <w:szCs w:val="16"/>
              <w:lang w:val="ru-RU"/>
            </w:rPr>
            <w:t xml:space="preserve"> СЗ</w:t>
          </w:r>
          <w:r w:rsidR="00B03C2B" w:rsidRPr="00030C82">
            <w:rPr>
              <w:b/>
              <w:smallCaps/>
              <w:color w:val="2E74B5" w:themeColor="accent1" w:themeShade="BF"/>
              <w:sz w:val="16"/>
              <w:szCs w:val="16"/>
              <w:lang w:val="ru-RU"/>
            </w:rPr>
            <w:t xml:space="preserve"> «УГАИК»)</w:t>
          </w:r>
        </w:p>
      </w:tc>
    </w:tr>
  </w:tbl>
  <w:p w:rsidR="00CD072E" w:rsidRPr="00B03C2B" w:rsidRDefault="00CD072E">
    <w:pPr>
      <w:pStyle w:val="a8"/>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21108"/>
    <w:multiLevelType w:val="hybridMultilevel"/>
    <w:tmpl w:val="7E58942E"/>
    <w:lvl w:ilvl="0" w:tplc="B2AE6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407BEE"/>
    <w:multiLevelType w:val="multilevel"/>
    <w:tmpl w:val="420C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F9"/>
    <w:rsid w:val="00002173"/>
    <w:rsid w:val="000108CC"/>
    <w:rsid w:val="000113A8"/>
    <w:rsid w:val="000217DC"/>
    <w:rsid w:val="00062D98"/>
    <w:rsid w:val="00077A3F"/>
    <w:rsid w:val="000A2835"/>
    <w:rsid w:val="000A6182"/>
    <w:rsid w:val="000E2A6C"/>
    <w:rsid w:val="0011021E"/>
    <w:rsid w:val="001203EA"/>
    <w:rsid w:val="00120691"/>
    <w:rsid w:val="001340D8"/>
    <w:rsid w:val="00136D89"/>
    <w:rsid w:val="00142B55"/>
    <w:rsid w:val="00162BF4"/>
    <w:rsid w:val="00185F4C"/>
    <w:rsid w:val="00191FDA"/>
    <w:rsid w:val="001A2D8B"/>
    <w:rsid w:val="001B441B"/>
    <w:rsid w:val="001C25B0"/>
    <w:rsid w:val="001E6285"/>
    <w:rsid w:val="0020512B"/>
    <w:rsid w:val="00216E82"/>
    <w:rsid w:val="002477EF"/>
    <w:rsid w:val="00247F83"/>
    <w:rsid w:val="00254D93"/>
    <w:rsid w:val="002568FA"/>
    <w:rsid w:val="00267191"/>
    <w:rsid w:val="00267496"/>
    <w:rsid w:val="002818F9"/>
    <w:rsid w:val="002A3BF9"/>
    <w:rsid w:val="002D30C4"/>
    <w:rsid w:val="002D38CD"/>
    <w:rsid w:val="002F1732"/>
    <w:rsid w:val="0031259E"/>
    <w:rsid w:val="00312AA2"/>
    <w:rsid w:val="00357CFF"/>
    <w:rsid w:val="00380AA9"/>
    <w:rsid w:val="003839C2"/>
    <w:rsid w:val="003A4DE3"/>
    <w:rsid w:val="003A6BCE"/>
    <w:rsid w:val="003B1477"/>
    <w:rsid w:val="003B381E"/>
    <w:rsid w:val="003B454E"/>
    <w:rsid w:val="003B6767"/>
    <w:rsid w:val="003E247F"/>
    <w:rsid w:val="0040196D"/>
    <w:rsid w:val="00402C3C"/>
    <w:rsid w:val="0041028C"/>
    <w:rsid w:val="004133E3"/>
    <w:rsid w:val="00421DC6"/>
    <w:rsid w:val="00422C19"/>
    <w:rsid w:val="004304D2"/>
    <w:rsid w:val="00447C71"/>
    <w:rsid w:val="00456120"/>
    <w:rsid w:val="00461952"/>
    <w:rsid w:val="00495F62"/>
    <w:rsid w:val="004B1B98"/>
    <w:rsid w:val="004F1A36"/>
    <w:rsid w:val="004F5D4F"/>
    <w:rsid w:val="0050331F"/>
    <w:rsid w:val="00512035"/>
    <w:rsid w:val="00550AEF"/>
    <w:rsid w:val="00557878"/>
    <w:rsid w:val="00567098"/>
    <w:rsid w:val="0057609B"/>
    <w:rsid w:val="005A1C6D"/>
    <w:rsid w:val="005B4D30"/>
    <w:rsid w:val="005E1CB1"/>
    <w:rsid w:val="00605AEC"/>
    <w:rsid w:val="00622BEF"/>
    <w:rsid w:val="006341EF"/>
    <w:rsid w:val="0064587F"/>
    <w:rsid w:val="006537D0"/>
    <w:rsid w:val="006A300C"/>
    <w:rsid w:val="00744310"/>
    <w:rsid w:val="0075083A"/>
    <w:rsid w:val="00771805"/>
    <w:rsid w:val="007C0049"/>
    <w:rsid w:val="007E2402"/>
    <w:rsid w:val="007E5BD9"/>
    <w:rsid w:val="007E6BA1"/>
    <w:rsid w:val="007F38EC"/>
    <w:rsid w:val="00831D47"/>
    <w:rsid w:val="0083422D"/>
    <w:rsid w:val="00842F79"/>
    <w:rsid w:val="00846E4A"/>
    <w:rsid w:val="00847384"/>
    <w:rsid w:val="00863AED"/>
    <w:rsid w:val="008A1EFE"/>
    <w:rsid w:val="008A24C6"/>
    <w:rsid w:val="008B59A4"/>
    <w:rsid w:val="008C5135"/>
    <w:rsid w:val="008C5A34"/>
    <w:rsid w:val="008F7D44"/>
    <w:rsid w:val="00901CAA"/>
    <w:rsid w:val="009020B0"/>
    <w:rsid w:val="00922D47"/>
    <w:rsid w:val="009467FF"/>
    <w:rsid w:val="0098346F"/>
    <w:rsid w:val="009A280C"/>
    <w:rsid w:val="009A5418"/>
    <w:rsid w:val="009B35F1"/>
    <w:rsid w:val="00A15268"/>
    <w:rsid w:val="00A665E3"/>
    <w:rsid w:val="00A73D1B"/>
    <w:rsid w:val="00AA302A"/>
    <w:rsid w:val="00AB2640"/>
    <w:rsid w:val="00AD5DEF"/>
    <w:rsid w:val="00AD6C38"/>
    <w:rsid w:val="00B0185F"/>
    <w:rsid w:val="00B0268D"/>
    <w:rsid w:val="00B03C2B"/>
    <w:rsid w:val="00B14017"/>
    <w:rsid w:val="00B22298"/>
    <w:rsid w:val="00B33A17"/>
    <w:rsid w:val="00B6151A"/>
    <w:rsid w:val="00B76E5E"/>
    <w:rsid w:val="00B8088E"/>
    <w:rsid w:val="00B8603D"/>
    <w:rsid w:val="00BD3263"/>
    <w:rsid w:val="00BE1416"/>
    <w:rsid w:val="00BF0EB0"/>
    <w:rsid w:val="00C10078"/>
    <w:rsid w:val="00C2581F"/>
    <w:rsid w:val="00C3558D"/>
    <w:rsid w:val="00C372BC"/>
    <w:rsid w:val="00C405EA"/>
    <w:rsid w:val="00C40BA9"/>
    <w:rsid w:val="00C46998"/>
    <w:rsid w:val="00C51EFA"/>
    <w:rsid w:val="00C84572"/>
    <w:rsid w:val="00C9457A"/>
    <w:rsid w:val="00C95448"/>
    <w:rsid w:val="00CB13F4"/>
    <w:rsid w:val="00CD072E"/>
    <w:rsid w:val="00CD0755"/>
    <w:rsid w:val="00CD7FA8"/>
    <w:rsid w:val="00D148FE"/>
    <w:rsid w:val="00D24115"/>
    <w:rsid w:val="00D404D0"/>
    <w:rsid w:val="00D509C8"/>
    <w:rsid w:val="00D51C76"/>
    <w:rsid w:val="00DA610C"/>
    <w:rsid w:val="00DD6BEC"/>
    <w:rsid w:val="00E1234B"/>
    <w:rsid w:val="00E24E2B"/>
    <w:rsid w:val="00E350A6"/>
    <w:rsid w:val="00E66425"/>
    <w:rsid w:val="00F01333"/>
    <w:rsid w:val="00F31FC0"/>
    <w:rsid w:val="00F37FDA"/>
    <w:rsid w:val="00F52AAB"/>
    <w:rsid w:val="00F6660B"/>
    <w:rsid w:val="00F8239D"/>
    <w:rsid w:val="00F8479D"/>
    <w:rsid w:val="00F93D3D"/>
    <w:rsid w:val="00FA1693"/>
    <w:rsid w:val="00FB416B"/>
    <w:rsid w:val="00FC47A2"/>
    <w:rsid w:val="00FD1914"/>
    <w:rsid w:val="00FD1E85"/>
    <w:rsid w:val="00FE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7820B6-C28B-48FA-A461-A89714EA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18F9"/>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4">
    <w:name w:val="Table Grid"/>
    <w:basedOn w:val="a1"/>
    <w:uiPriority w:val="59"/>
    <w:rsid w:val="00E12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E1234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3">
    <w:name w:val="Grid Table 1 Light Accent 3"/>
    <w:basedOn w:val="a1"/>
    <w:uiPriority w:val="46"/>
    <w:rsid w:val="00E1234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5">
    <w:name w:val="Grid Table 1 Light Accent 5"/>
    <w:basedOn w:val="a1"/>
    <w:uiPriority w:val="46"/>
    <w:rsid w:val="00E1234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
    <w:name w:val="Grid Table 1 Light"/>
    <w:basedOn w:val="a1"/>
    <w:uiPriority w:val="46"/>
    <w:rsid w:val="00E123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51">
    <w:name w:val="Grid Table 5 Dark Accent 1"/>
    <w:basedOn w:val="a1"/>
    <w:uiPriority w:val="50"/>
    <w:rsid w:val="00E123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41">
    <w:name w:val="Grid Table 4 Accent 1"/>
    <w:basedOn w:val="a1"/>
    <w:uiPriority w:val="49"/>
    <w:rsid w:val="00E1234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71">
    <w:name w:val="List Table 7 Colorful Accent 1"/>
    <w:basedOn w:val="a1"/>
    <w:uiPriority w:val="52"/>
    <w:rsid w:val="00E1234B"/>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1"/>
    <w:uiPriority w:val="52"/>
    <w:rsid w:val="00E1234B"/>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5">
    <w:name w:val="footnote text"/>
    <w:basedOn w:val="a"/>
    <w:link w:val="a6"/>
    <w:uiPriority w:val="99"/>
    <w:unhideWhenUsed/>
    <w:rsid w:val="00D509C8"/>
    <w:pPr>
      <w:spacing w:after="0" w:line="240" w:lineRule="auto"/>
    </w:pPr>
    <w:rPr>
      <w:sz w:val="20"/>
      <w:szCs w:val="20"/>
    </w:rPr>
  </w:style>
  <w:style w:type="character" w:customStyle="1" w:styleId="a6">
    <w:name w:val="Текст сноски Знак"/>
    <w:basedOn w:val="a0"/>
    <w:link w:val="a5"/>
    <w:uiPriority w:val="99"/>
    <w:rsid w:val="00D509C8"/>
    <w:rPr>
      <w:sz w:val="20"/>
      <w:szCs w:val="20"/>
    </w:rPr>
  </w:style>
  <w:style w:type="character" w:styleId="a7">
    <w:name w:val="footnote reference"/>
    <w:basedOn w:val="a0"/>
    <w:uiPriority w:val="99"/>
    <w:semiHidden/>
    <w:unhideWhenUsed/>
    <w:rsid w:val="00D509C8"/>
    <w:rPr>
      <w:vertAlign w:val="superscript"/>
    </w:rPr>
  </w:style>
  <w:style w:type="paragraph" w:styleId="a8">
    <w:name w:val="header"/>
    <w:basedOn w:val="a"/>
    <w:link w:val="a9"/>
    <w:uiPriority w:val="99"/>
    <w:unhideWhenUsed/>
    <w:rsid w:val="006537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7D0"/>
  </w:style>
  <w:style w:type="paragraph" w:styleId="aa">
    <w:name w:val="footer"/>
    <w:basedOn w:val="a"/>
    <w:link w:val="ab"/>
    <w:uiPriority w:val="99"/>
    <w:unhideWhenUsed/>
    <w:rsid w:val="006537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7D0"/>
  </w:style>
  <w:style w:type="paragraph" w:styleId="ac">
    <w:name w:val="Balloon Text"/>
    <w:basedOn w:val="a"/>
    <w:link w:val="ad"/>
    <w:uiPriority w:val="99"/>
    <w:semiHidden/>
    <w:unhideWhenUsed/>
    <w:rsid w:val="0077180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71805"/>
    <w:rPr>
      <w:rFonts w:ascii="Segoe UI" w:hAnsi="Segoe UI" w:cs="Segoe UI"/>
      <w:sz w:val="18"/>
      <w:szCs w:val="18"/>
    </w:rPr>
  </w:style>
  <w:style w:type="character" w:customStyle="1" w:styleId="apple-converted-space">
    <w:name w:val="apple-converted-space"/>
    <w:basedOn w:val="a0"/>
    <w:rsid w:val="000217DC"/>
  </w:style>
  <w:style w:type="paragraph" w:styleId="ae">
    <w:name w:val="List Paragraph"/>
    <w:basedOn w:val="a"/>
    <w:uiPriority w:val="34"/>
    <w:qFormat/>
    <w:rsid w:val="00142B55"/>
    <w:pPr>
      <w:spacing w:after="200" w:line="276" w:lineRule="auto"/>
      <w:ind w:left="720"/>
      <w:contextualSpacing/>
    </w:pPr>
    <w:rPr>
      <w:rFonts w:ascii="Calibri" w:eastAsia="Times New Roman" w:hAnsi="Calibri" w:cs="Times New Roman"/>
      <w:lang w:eastAsia="ru-RU"/>
    </w:rPr>
  </w:style>
  <w:style w:type="paragraph" w:styleId="af">
    <w:name w:val="No Spacing"/>
    <w:uiPriority w:val="1"/>
    <w:qFormat/>
    <w:rsid w:val="00B03C2B"/>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34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E7CFC-3E0A-44F6-B174-596DECE4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46</Words>
  <Characters>266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ЖариноваЕВ</cp:lastModifiedBy>
  <cp:revision>12</cp:revision>
  <cp:lastPrinted>2015-07-22T06:56:00Z</cp:lastPrinted>
  <dcterms:created xsi:type="dcterms:W3CDTF">2017-05-04T04:42:00Z</dcterms:created>
  <dcterms:modified xsi:type="dcterms:W3CDTF">2018-11-27T10:49:00Z</dcterms:modified>
</cp:coreProperties>
</file>