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79" w:rsidRPr="00C84572" w:rsidRDefault="00842F79" w:rsidP="00842F79">
      <w:pPr>
        <w:spacing w:after="0"/>
        <w:jc w:val="right"/>
        <w:rPr>
          <w:color w:val="44546A" w:themeColor="text2"/>
          <w:sz w:val="24"/>
        </w:rPr>
      </w:pPr>
      <w:r>
        <w:rPr>
          <w:color w:val="44546A" w:themeColor="text2"/>
          <w:sz w:val="24"/>
        </w:rPr>
        <w:t xml:space="preserve">Действуют с </w:t>
      </w:r>
      <w:r w:rsidR="00A263DF">
        <w:rPr>
          <w:color w:val="44546A" w:themeColor="text2"/>
          <w:sz w:val="24"/>
        </w:rPr>
        <w:t>01</w:t>
      </w:r>
      <w:r w:rsidR="001203EA">
        <w:rPr>
          <w:color w:val="44546A" w:themeColor="text2"/>
          <w:sz w:val="24"/>
        </w:rPr>
        <w:t>.</w:t>
      </w:r>
      <w:r w:rsidR="00E23907">
        <w:rPr>
          <w:color w:val="44546A" w:themeColor="text2"/>
          <w:sz w:val="24"/>
        </w:rPr>
        <w:t>10</w:t>
      </w:r>
      <w:r w:rsidRPr="00C84572">
        <w:rPr>
          <w:color w:val="44546A" w:themeColor="text2"/>
          <w:sz w:val="24"/>
        </w:rPr>
        <w:t>.201</w:t>
      </w:r>
      <w:r w:rsidR="001970D5">
        <w:rPr>
          <w:color w:val="44546A" w:themeColor="text2"/>
          <w:sz w:val="24"/>
        </w:rPr>
        <w:t>8</w:t>
      </w:r>
      <w:r w:rsidR="001203EA">
        <w:rPr>
          <w:color w:val="44546A" w:themeColor="text2"/>
          <w:sz w:val="24"/>
        </w:rPr>
        <w:t>г.</w:t>
      </w:r>
    </w:p>
    <w:p w:rsidR="008C5135" w:rsidRDefault="008C5135" w:rsidP="00D404D0">
      <w:pPr>
        <w:spacing w:after="0"/>
        <w:jc w:val="center"/>
        <w:rPr>
          <w:b/>
          <w:color w:val="C00000"/>
          <w:sz w:val="32"/>
        </w:rPr>
      </w:pPr>
    </w:p>
    <w:p w:rsidR="002818F9" w:rsidRPr="00FD1914" w:rsidRDefault="006537D0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 xml:space="preserve">ТАРИФЫ </w:t>
      </w:r>
    </w:p>
    <w:p w:rsidR="00CD072E" w:rsidRPr="00FD1914" w:rsidRDefault="00CD072E" w:rsidP="00D404D0">
      <w:pPr>
        <w:spacing w:after="0"/>
        <w:jc w:val="center"/>
        <w:rPr>
          <w:b/>
          <w:color w:val="C00000"/>
          <w:sz w:val="32"/>
        </w:rPr>
      </w:pPr>
      <w:r w:rsidRPr="00FD1914">
        <w:rPr>
          <w:b/>
          <w:color w:val="C00000"/>
          <w:sz w:val="32"/>
        </w:rPr>
        <w:t>АО «УФИМСКОЕ ГОРОДСКОЕ АГЕН</w:t>
      </w:r>
      <w:r w:rsidR="00D51C76">
        <w:rPr>
          <w:b/>
          <w:color w:val="C00000"/>
          <w:sz w:val="32"/>
        </w:rPr>
        <w:t>Т</w:t>
      </w:r>
      <w:r w:rsidRPr="00FD1914">
        <w:rPr>
          <w:b/>
          <w:color w:val="C00000"/>
          <w:sz w:val="32"/>
        </w:rPr>
        <w:t>СТВО ИПОТЕЧНОГО КРЕДИТОВАНИЯ»</w:t>
      </w:r>
    </w:p>
    <w:p w:rsidR="00162BF4" w:rsidRDefault="00806A04" w:rsidP="00FC6064">
      <w:pPr>
        <w:spacing w:after="0" w:line="240" w:lineRule="auto"/>
        <w:jc w:val="center"/>
        <w:rPr>
          <w:b/>
          <w:color w:val="C00000"/>
          <w:sz w:val="44"/>
        </w:rPr>
      </w:pPr>
      <w:r>
        <w:rPr>
          <w:b/>
          <w:color w:val="C00000"/>
          <w:sz w:val="44"/>
        </w:rPr>
        <w:t>ПЕРЕМЕННАЯ СТАВКА</w:t>
      </w:r>
      <w:r w:rsidR="00F31FC0">
        <w:rPr>
          <w:rStyle w:val="a7"/>
          <w:b/>
          <w:color w:val="C00000"/>
          <w:sz w:val="44"/>
        </w:rPr>
        <w:footnoteReference w:id="1"/>
      </w:r>
    </w:p>
    <w:p w:rsidR="001203EA" w:rsidRPr="00FC6064" w:rsidRDefault="001203EA" w:rsidP="003E247F">
      <w:pPr>
        <w:spacing w:before="120" w:after="0" w:line="240" w:lineRule="auto"/>
        <w:jc w:val="center"/>
        <w:rPr>
          <w:b/>
          <w:color w:val="C00000"/>
          <w:sz w:val="6"/>
        </w:rPr>
      </w:pPr>
    </w:p>
    <w:tbl>
      <w:tblPr>
        <w:tblStyle w:val="a4"/>
        <w:tblW w:w="0" w:type="auto"/>
        <w:tblBorders>
          <w:top w:val="single" w:sz="12" w:space="0" w:color="1F4E79" w:themeColor="accent1" w:themeShade="80"/>
          <w:left w:val="single" w:sz="12" w:space="0" w:color="1F4E79" w:themeColor="accent1" w:themeShade="80"/>
          <w:bottom w:val="single" w:sz="12" w:space="0" w:color="1F4E79" w:themeColor="accent1" w:themeShade="80"/>
          <w:right w:val="single" w:sz="12" w:space="0" w:color="1F4E79" w:themeColor="accent1" w:themeShade="80"/>
          <w:insideH w:val="single" w:sz="12" w:space="0" w:color="1F4E79" w:themeColor="accent1" w:themeShade="80"/>
          <w:insideV w:val="single" w:sz="1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5797"/>
        <w:gridCol w:w="4639"/>
      </w:tblGrid>
      <w:tr w:rsidR="00162BF4" w:rsidRPr="00847384" w:rsidTr="0035128F">
        <w:trPr>
          <w:trHeight w:val="567"/>
        </w:trPr>
        <w:tc>
          <w:tcPr>
            <w:tcW w:w="5797" w:type="dxa"/>
            <w:vAlign w:val="center"/>
          </w:tcPr>
          <w:p w:rsidR="00162BF4" w:rsidRPr="003A6BCE" w:rsidRDefault="00162BF4" w:rsidP="003E247F">
            <w:pPr>
              <w:rPr>
                <w:color w:val="44546A" w:themeColor="text2"/>
                <w:sz w:val="32"/>
              </w:rPr>
            </w:pPr>
            <w:r w:rsidRPr="003A6BCE">
              <w:rPr>
                <w:color w:val="44546A" w:themeColor="text2"/>
                <w:sz w:val="32"/>
              </w:rPr>
              <w:t xml:space="preserve">Срок </w:t>
            </w:r>
            <w:r w:rsidR="00C9457A" w:rsidRPr="003A6BCE">
              <w:rPr>
                <w:color w:val="44546A" w:themeColor="text2"/>
                <w:sz w:val="32"/>
              </w:rPr>
              <w:t>предоставления займа</w:t>
            </w:r>
            <w:r w:rsidR="00ED60B6">
              <w:rPr>
                <w:color w:val="44546A" w:themeColor="text2"/>
                <w:sz w:val="32"/>
              </w:rPr>
              <w:t xml:space="preserve"> на дату выдачи</w:t>
            </w:r>
          </w:p>
        </w:tc>
        <w:tc>
          <w:tcPr>
            <w:tcW w:w="4639" w:type="dxa"/>
            <w:vAlign w:val="center"/>
          </w:tcPr>
          <w:p w:rsidR="0035128F" w:rsidRDefault="00B22298" w:rsidP="003E247F">
            <w:pPr>
              <w:jc w:val="center"/>
              <w:rPr>
                <w:b/>
                <w:color w:val="44546A" w:themeColor="text2"/>
                <w:sz w:val="36"/>
              </w:rPr>
            </w:pPr>
            <w:r w:rsidRPr="00F8239D">
              <w:rPr>
                <w:b/>
                <w:color w:val="44546A" w:themeColor="text2"/>
                <w:sz w:val="36"/>
              </w:rPr>
              <w:t>От 3 до 30 лет</w:t>
            </w:r>
            <w:r w:rsidR="0035128F">
              <w:rPr>
                <w:b/>
                <w:color w:val="44546A" w:themeColor="text2"/>
                <w:sz w:val="36"/>
              </w:rPr>
              <w:t xml:space="preserve"> </w:t>
            </w:r>
          </w:p>
          <w:p w:rsidR="00162BF4" w:rsidRPr="00F8239D" w:rsidRDefault="0035128F" w:rsidP="003E247F">
            <w:pPr>
              <w:jc w:val="center"/>
              <w:rPr>
                <w:b/>
                <w:color w:val="44546A" w:themeColor="text2"/>
                <w:sz w:val="36"/>
              </w:rPr>
            </w:pPr>
            <w:r w:rsidRPr="0035128F">
              <w:rPr>
                <w:b/>
                <w:color w:val="44546A" w:themeColor="text2"/>
                <w:sz w:val="32"/>
              </w:rPr>
              <w:t>с возможностью пролонгации</w:t>
            </w:r>
          </w:p>
        </w:tc>
      </w:tr>
      <w:tr w:rsidR="00162BF4" w:rsidRPr="00847384" w:rsidTr="0035128F">
        <w:trPr>
          <w:trHeight w:val="567"/>
        </w:trPr>
        <w:tc>
          <w:tcPr>
            <w:tcW w:w="5797" w:type="dxa"/>
            <w:vAlign w:val="center"/>
          </w:tcPr>
          <w:p w:rsidR="00162BF4" w:rsidRPr="003A6BCE" w:rsidRDefault="00C9457A" w:rsidP="00820301">
            <w:pPr>
              <w:rPr>
                <w:color w:val="44546A" w:themeColor="text2"/>
                <w:sz w:val="32"/>
              </w:rPr>
            </w:pPr>
            <w:r w:rsidRPr="003A6BCE">
              <w:rPr>
                <w:color w:val="44546A" w:themeColor="text2"/>
                <w:sz w:val="32"/>
              </w:rPr>
              <w:t>Сумма займа</w:t>
            </w:r>
            <w:r w:rsidR="00162BF4" w:rsidRPr="003A6BCE">
              <w:rPr>
                <w:color w:val="44546A" w:themeColor="text2"/>
                <w:sz w:val="32"/>
              </w:rPr>
              <w:t>, рублей</w:t>
            </w:r>
          </w:p>
        </w:tc>
        <w:tc>
          <w:tcPr>
            <w:tcW w:w="4639" w:type="dxa"/>
            <w:vAlign w:val="center"/>
          </w:tcPr>
          <w:p w:rsidR="00162BF4" w:rsidRPr="00F8239D" w:rsidRDefault="00162BF4" w:rsidP="00F52E29">
            <w:pPr>
              <w:jc w:val="center"/>
              <w:rPr>
                <w:b/>
                <w:color w:val="44546A" w:themeColor="text2"/>
                <w:sz w:val="36"/>
              </w:rPr>
            </w:pPr>
            <w:r w:rsidRPr="00F8239D">
              <w:rPr>
                <w:b/>
                <w:color w:val="44546A" w:themeColor="text2"/>
                <w:sz w:val="36"/>
              </w:rPr>
              <w:t xml:space="preserve">От </w:t>
            </w:r>
            <w:r w:rsidR="001970D5">
              <w:rPr>
                <w:b/>
                <w:color w:val="44546A" w:themeColor="text2"/>
                <w:sz w:val="36"/>
              </w:rPr>
              <w:t>5</w:t>
            </w:r>
            <w:r w:rsidRPr="00F8239D">
              <w:rPr>
                <w:b/>
                <w:color w:val="44546A" w:themeColor="text2"/>
                <w:sz w:val="36"/>
              </w:rPr>
              <w:t xml:space="preserve">00 000 до </w:t>
            </w:r>
            <w:r w:rsidR="00820301">
              <w:rPr>
                <w:b/>
                <w:color w:val="44546A" w:themeColor="text2"/>
                <w:sz w:val="36"/>
              </w:rPr>
              <w:t>1</w:t>
            </w:r>
            <w:r w:rsidR="00F52E29">
              <w:rPr>
                <w:b/>
                <w:color w:val="44546A" w:themeColor="text2"/>
                <w:sz w:val="36"/>
              </w:rPr>
              <w:t>5</w:t>
            </w:r>
            <w:bookmarkStart w:id="0" w:name="_GoBack"/>
            <w:bookmarkEnd w:id="0"/>
            <w:r w:rsidRPr="00F8239D">
              <w:rPr>
                <w:b/>
                <w:color w:val="44546A" w:themeColor="text2"/>
                <w:sz w:val="36"/>
              </w:rPr>
              <w:t> </w:t>
            </w:r>
            <w:r w:rsidR="00820301">
              <w:rPr>
                <w:b/>
                <w:color w:val="44546A" w:themeColor="text2"/>
                <w:sz w:val="36"/>
              </w:rPr>
              <w:t>0</w:t>
            </w:r>
            <w:r w:rsidR="00AD6C38" w:rsidRPr="00F8239D">
              <w:rPr>
                <w:b/>
                <w:color w:val="44546A" w:themeColor="text2"/>
                <w:sz w:val="36"/>
              </w:rPr>
              <w:t>00 000</w:t>
            </w:r>
          </w:p>
        </w:tc>
      </w:tr>
      <w:tr w:rsidR="001203EA" w:rsidRPr="00847384" w:rsidTr="0035128F">
        <w:trPr>
          <w:trHeight w:val="567"/>
        </w:trPr>
        <w:tc>
          <w:tcPr>
            <w:tcW w:w="5797" w:type="dxa"/>
            <w:vAlign w:val="center"/>
          </w:tcPr>
          <w:p w:rsidR="001203EA" w:rsidRPr="00705644" w:rsidRDefault="001203EA" w:rsidP="00ED60B6">
            <w:pPr>
              <w:rPr>
                <w:color w:val="44546A" w:themeColor="text2"/>
                <w:sz w:val="32"/>
                <w:lang w:val="en-US"/>
              </w:rPr>
            </w:pPr>
            <w:r w:rsidRPr="003A6BCE">
              <w:rPr>
                <w:color w:val="44546A" w:themeColor="text2"/>
                <w:sz w:val="32"/>
              </w:rPr>
              <w:t>Первоначальный взнос</w:t>
            </w:r>
            <w:r w:rsidRPr="003A6BCE">
              <w:rPr>
                <w:rStyle w:val="a7"/>
                <w:color w:val="44546A" w:themeColor="text2"/>
                <w:sz w:val="32"/>
              </w:rPr>
              <w:footnoteReference w:id="2"/>
            </w:r>
          </w:p>
        </w:tc>
        <w:tc>
          <w:tcPr>
            <w:tcW w:w="4639" w:type="dxa"/>
            <w:vAlign w:val="center"/>
          </w:tcPr>
          <w:p w:rsidR="001203EA" w:rsidRPr="00F8239D" w:rsidRDefault="001203EA" w:rsidP="00806A04">
            <w:pPr>
              <w:jc w:val="center"/>
              <w:rPr>
                <w:b/>
                <w:color w:val="44546A" w:themeColor="text2"/>
                <w:sz w:val="36"/>
              </w:rPr>
            </w:pPr>
            <w:r w:rsidRPr="00F8239D">
              <w:rPr>
                <w:b/>
                <w:color w:val="44546A" w:themeColor="text2"/>
                <w:sz w:val="36"/>
              </w:rPr>
              <w:t xml:space="preserve">От </w:t>
            </w:r>
            <w:r w:rsidR="00806A04">
              <w:rPr>
                <w:b/>
                <w:color w:val="44546A" w:themeColor="text2"/>
                <w:sz w:val="36"/>
              </w:rPr>
              <w:t>3</w:t>
            </w:r>
            <w:r w:rsidRPr="00F8239D">
              <w:rPr>
                <w:b/>
                <w:color w:val="44546A" w:themeColor="text2"/>
                <w:sz w:val="36"/>
              </w:rPr>
              <w:t>0%</w:t>
            </w:r>
          </w:p>
        </w:tc>
      </w:tr>
      <w:tr w:rsidR="00ED60B6" w:rsidRPr="00847384" w:rsidTr="0035128F">
        <w:trPr>
          <w:trHeight w:val="567"/>
        </w:trPr>
        <w:tc>
          <w:tcPr>
            <w:tcW w:w="5797" w:type="dxa"/>
            <w:vAlign w:val="center"/>
          </w:tcPr>
          <w:p w:rsidR="00ED60B6" w:rsidRPr="00705644" w:rsidRDefault="00ED60B6" w:rsidP="003E247F">
            <w:pPr>
              <w:rPr>
                <w:color w:val="44546A" w:themeColor="text2"/>
                <w:sz w:val="32"/>
              </w:rPr>
            </w:pPr>
            <w:r>
              <w:rPr>
                <w:color w:val="44546A" w:themeColor="text2"/>
                <w:sz w:val="32"/>
              </w:rPr>
              <w:t xml:space="preserve">Процентная </w:t>
            </w:r>
            <w:proofErr w:type="gramStart"/>
            <w:r>
              <w:rPr>
                <w:color w:val="44546A" w:themeColor="text2"/>
                <w:sz w:val="32"/>
              </w:rPr>
              <w:t>ставка</w:t>
            </w:r>
            <w:r w:rsidR="00A227F9">
              <w:rPr>
                <w:rStyle w:val="a7"/>
                <w:color w:val="44546A" w:themeColor="text2"/>
                <w:sz w:val="32"/>
              </w:rPr>
              <w:footnoteReference w:id="3"/>
            </w:r>
            <w:r w:rsidR="006A570F" w:rsidRPr="00E168C8">
              <w:rPr>
                <w:color w:val="44546A" w:themeColor="text2"/>
                <w:sz w:val="32"/>
                <w:vertAlign w:val="superscript"/>
              </w:rPr>
              <w:t>,</w:t>
            </w:r>
            <w:r w:rsidR="006A570F">
              <w:rPr>
                <w:rStyle w:val="a7"/>
                <w:color w:val="44546A" w:themeColor="text2"/>
                <w:sz w:val="32"/>
              </w:rPr>
              <w:footnoteReference w:id="4"/>
            </w:r>
            <w:r>
              <w:rPr>
                <w:color w:val="44546A" w:themeColor="text2"/>
                <w:sz w:val="32"/>
              </w:rPr>
              <w:t>,</w:t>
            </w:r>
            <w:proofErr w:type="gramEnd"/>
            <w:r>
              <w:rPr>
                <w:color w:val="44546A" w:themeColor="text2"/>
                <w:sz w:val="32"/>
              </w:rPr>
              <w:t xml:space="preserve"> годовых</w:t>
            </w:r>
          </w:p>
        </w:tc>
        <w:tc>
          <w:tcPr>
            <w:tcW w:w="4639" w:type="dxa"/>
            <w:vAlign w:val="center"/>
          </w:tcPr>
          <w:p w:rsidR="00ED60B6" w:rsidRPr="00F8239D" w:rsidRDefault="00BC505D" w:rsidP="00EF0B3E">
            <w:pPr>
              <w:jc w:val="center"/>
              <w:rPr>
                <w:b/>
                <w:color w:val="44546A" w:themeColor="text2"/>
                <w:sz w:val="36"/>
              </w:rPr>
            </w:pPr>
            <w:r>
              <w:rPr>
                <w:b/>
                <w:color w:val="44546A" w:themeColor="text2"/>
                <w:sz w:val="36"/>
              </w:rPr>
              <w:t>ИПЦ + 5</w:t>
            </w:r>
            <w:r w:rsidR="00ED60B6">
              <w:rPr>
                <w:b/>
                <w:color w:val="44546A" w:themeColor="text2"/>
                <w:sz w:val="36"/>
              </w:rPr>
              <w:t>,9%</w:t>
            </w:r>
          </w:p>
        </w:tc>
      </w:tr>
      <w:tr w:rsidR="004304D2" w:rsidRPr="00847384" w:rsidTr="0035128F">
        <w:trPr>
          <w:trHeight w:val="567"/>
        </w:trPr>
        <w:tc>
          <w:tcPr>
            <w:tcW w:w="5797" w:type="dxa"/>
            <w:vAlign w:val="center"/>
          </w:tcPr>
          <w:p w:rsidR="004304D2" w:rsidRPr="003A6BCE" w:rsidRDefault="00705644" w:rsidP="001203EA">
            <w:pPr>
              <w:rPr>
                <w:color w:val="44546A" w:themeColor="text2"/>
                <w:sz w:val="32"/>
              </w:rPr>
            </w:pPr>
            <w:r>
              <w:rPr>
                <w:color w:val="44546A" w:themeColor="text2"/>
                <w:sz w:val="32"/>
              </w:rPr>
              <w:t>Пересмотр процентной ставки</w:t>
            </w:r>
            <w:r w:rsidR="00430AE6">
              <w:rPr>
                <w:rStyle w:val="a7"/>
                <w:color w:val="44546A" w:themeColor="text2"/>
                <w:sz w:val="32"/>
              </w:rPr>
              <w:footnoteReference w:id="5"/>
            </w:r>
          </w:p>
        </w:tc>
        <w:tc>
          <w:tcPr>
            <w:tcW w:w="4639" w:type="dxa"/>
            <w:vAlign w:val="center"/>
          </w:tcPr>
          <w:p w:rsidR="004304D2" w:rsidRPr="0035128F" w:rsidRDefault="00705644" w:rsidP="003E247F">
            <w:pPr>
              <w:jc w:val="center"/>
              <w:rPr>
                <w:b/>
                <w:color w:val="44546A" w:themeColor="text2"/>
                <w:sz w:val="32"/>
              </w:rPr>
            </w:pPr>
            <w:r w:rsidRPr="0035128F">
              <w:rPr>
                <w:b/>
                <w:color w:val="44546A" w:themeColor="text2"/>
                <w:sz w:val="32"/>
              </w:rPr>
              <w:t>ежеквартально</w:t>
            </w:r>
          </w:p>
        </w:tc>
      </w:tr>
      <w:tr w:rsidR="0035128F" w:rsidRPr="00847384" w:rsidTr="0035128F">
        <w:trPr>
          <w:trHeight w:val="567"/>
        </w:trPr>
        <w:tc>
          <w:tcPr>
            <w:tcW w:w="5797" w:type="dxa"/>
            <w:vAlign w:val="center"/>
          </w:tcPr>
          <w:p w:rsidR="0035128F" w:rsidRPr="003A6BCE" w:rsidRDefault="0035128F" w:rsidP="0035128F">
            <w:pPr>
              <w:rPr>
                <w:color w:val="44546A" w:themeColor="text2"/>
                <w:sz w:val="32"/>
              </w:rPr>
            </w:pPr>
            <w:r>
              <w:rPr>
                <w:color w:val="44546A" w:themeColor="text2"/>
                <w:sz w:val="32"/>
              </w:rPr>
              <w:t>Ежемесячный платеж</w:t>
            </w:r>
          </w:p>
        </w:tc>
        <w:tc>
          <w:tcPr>
            <w:tcW w:w="4639" w:type="dxa"/>
            <w:vAlign w:val="center"/>
          </w:tcPr>
          <w:p w:rsidR="0035128F" w:rsidRPr="0035128F" w:rsidRDefault="0035128F" w:rsidP="0035128F">
            <w:pPr>
              <w:jc w:val="center"/>
              <w:rPr>
                <w:b/>
                <w:color w:val="44546A" w:themeColor="text2"/>
                <w:sz w:val="32"/>
              </w:rPr>
            </w:pPr>
            <w:r w:rsidRPr="0035128F">
              <w:rPr>
                <w:b/>
                <w:color w:val="44546A" w:themeColor="text2"/>
                <w:sz w:val="32"/>
              </w:rPr>
              <w:t>фиксированный</w:t>
            </w:r>
          </w:p>
        </w:tc>
      </w:tr>
      <w:tr w:rsidR="0035128F" w:rsidRPr="00847384" w:rsidTr="0035128F">
        <w:trPr>
          <w:trHeight w:val="567"/>
        </w:trPr>
        <w:tc>
          <w:tcPr>
            <w:tcW w:w="5797" w:type="dxa"/>
            <w:vAlign w:val="center"/>
          </w:tcPr>
          <w:p w:rsidR="0035128F" w:rsidRPr="003A6BCE" w:rsidRDefault="0035128F" w:rsidP="00E23907">
            <w:pPr>
              <w:rPr>
                <w:color w:val="44546A" w:themeColor="text2"/>
                <w:sz w:val="32"/>
              </w:rPr>
            </w:pPr>
            <w:r w:rsidRPr="00705644">
              <w:rPr>
                <w:color w:val="44546A" w:themeColor="text2"/>
                <w:sz w:val="32"/>
              </w:rPr>
              <w:t>Размер процентной ставки на период с 1 </w:t>
            </w:r>
            <w:r w:rsidR="00E23907">
              <w:rPr>
                <w:color w:val="44546A" w:themeColor="text2"/>
                <w:sz w:val="32"/>
              </w:rPr>
              <w:t>октября</w:t>
            </w:r>
            <w:r w:rsidRPr="00705644">
              <w:rPr>
                <w:color w:val="44546A" w:themeColor="text2"/>
                <w:sz w:val="32"/>
              </w:rPr>
              <w:t xml:space="preserve"> по 3</w:t>
            </w:r>
            <w:r w:rsidR="00E23907">
              <w:rPr>
                <w:color w:val="44546A" w:themeColor="text2"/>
                <w:sz w:val="32"/>
              </w:rPr>
              <w:t>1</w:t>
            </w:r>
            <w:r w:rsidRPr="00705644">
              <w:rPr>
                <w:color w:val="44546A" w:themeColor="text2"/>
                <w:sz w:val="32"/>
              </w:rPr>
              <w:t> </w:t>
            </w:r>
            <w:r w:rsidR="00E23907">
              <w:rPr>
                <w:color w:val="44546A" w:themeColor="text2"/>
                <w:sz w:val="32"/>
              </w:rPr>
              <w:t>дека</w:t>
            </w:r>
            <w:r w:rsidR="00A263DF">
              <w:rPr>
                <w:color w:val="44546A" w:themeColor="text2"/>
                <w:sz w:val="32"/>
              </w:rPr>
              <w:t>бря</w:t>
            </w:r>
            <w:r w:rsidRPr="00705644">
              <w:rPr>
                <w:color w:val="44546A" w:themeColor="text2"/>
                <w:sz w:val="32"/>
              </w:rPr>
              <w:t xml:space="preserve"> 201</w:t>
            </w:r>
            <w:r w:rsidR="001970D5">
              <w:rPr>
                <w:color w:val="44546A" w:themeColor="text2"/>
                <w:sz w:val="32"/>
              </w:rPr>
              <w:t>8</w:t>
            </w:r>
            <w:r w:rsidRPr="00705644">
              <w:rPr>
                <w:color w:val="44546A" w:themeColor="text2"/>
                <w:sz w:val="32"/>
              </w:rPr>
              <w:t xml:space="preserve"> года</w:t>
            </w:r>
          </w:p>
        </w:tc>
        <w:tc>
          <w:tcPr>
            <w:tcW w:w="4639" w:type="dxa"/>
            <w:vAlign w:val="center"/>
          </w:tcPr>
          <w:p w:rsidR="0035128F" w:rsidRPr="008A24C6" w:rsidRDefault="00E23907" w:rsidP="00E23907">
            <w:pPr>
              <w:jc w:val="center"/>
              <w:rPr>
                <w:b/>
                <w:color w:val="44546A" w:themeColor="text2"/>
                <w:sz w:val="40"/>
              </w:rPr>
            </w:pPr>
            <w:r>
              <w:rPr>
                <w:b/>
                <w:color w:val="44546A" w:themeColor="text2"/>
                <w:sz w:val="40"/>
                <w:lang w:val="en-US"/>
              </w:rPr>
              <w:t>8</w:t>
            </w:r>
            <w:r>
              <w:rPr>
                <w:b/>
                <w:color w:val="44546A" w:themeColor="text2"/>
                <w:sz w:val="40"/>
              </w:rPr>
              <w:t>,</w:t>
            </w:r>
            <w:r>
              <w:rPr>
                <w:b/>
                <w:color w:val="44546A" w:themeColor="text2"/>
                <w:sz w:val="40"/>
                <w:lang w:val="en-US"/>
              </w:rPr>
              <w:t>99</w:t>
            </w:r>
            <w:r w:rsidR="0035128F">
              <w:rPr>
                <w:b/>
                <w:color w:val="44546A" w:themeColor="text2"/>
                <w:sz w:val="40"/>
              </w:rPr>
              <w:t>%</w:t>
            </w:r>
          </w:p>
        </w:tc>
      </w:tr>
    </w:tbl>
    <w:p w:rsidR="006537D0" w:rsidRPr="003E247F" w:rsidRDefault="006537D0" w:rsidP="008A2F04"/>
    <w:sectPr w:rsidR="006537D0" w:rsidRPr="003E247F" w:rsidSect="000C74F6">
      <w:headerReference w:type="default" r:id="rId8"/>
      <w:footerReference w:type="default" r:id="rId9"/>
      <w:pgSz w:w="11906" w:h="16838" w:code="9"/>
      <w:pgMar w:top="567" w:right="720" w:bottom="567" w:left="720" w:header="17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CDC" w:rsidRDefault="00541CDC" w:rsidP="00D509C8">
      <w:pPr>
        <w:spacing w:after="0" w:line="240" w:lineRule="auto"/>
      </w:pPr>
      <w:r>
        <w:separator/>
      </w:r>
    </w:p>
  </w:endnote>
  <w:endnote w:type="continuationSeparator" w:id="0">
    <w:p w:rsidR="00541CDC" w:rsidRDefault="00541CDC" w:rsidP="00D50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7D0" w:rsidRDefault="000C74F6">
    <w:pPr>
      <w:pStyle w:val="aa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6F2CF124" wp14:editId="2A2BEE03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3633470" cy="676910"/>
          <wp:effectExtent l="0" t="0" r="5080" b="889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34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CDC" w:rsidRDefault="00541CDC" w:rsidP="00D509C8">
      <w:pPr>
        <w:spacing w:after="0" w:line="240" w:lineRule="auto"/>
      </w:pPr>
      <w:r>
        <w:separator/>
      </w:r>
    </w:p>
  </w:footnote>
  <w:footnote w:type="continuationSeparator" w:id="0">
    <w:p w:rsidR="00541CDC" w:rsidRDefault="00541CDC" w:rsidP="00D509C8">
      <w:pPr>
        <w:spacing w:after="0" w:line="240" w:lineRule="auto"/>
      </w:pPr>
      <w:r>
        <w:continuationSeparator/>
      </w:r>
    </w:p>
  </w:footnote>
  <w:footnote w:id="1">
    <w:p w:rsidR="00AA10A9" w:rsidRPr="00FC6064" w:rsidRDefault="00F31FC0" w:rsidP="00806A04">
      <w:pPr>
        <w:pStyle w:val="a5"/>
        <w:jc w:val="both"/>
        <w:rPr>
          <w:color w:val="002060"/>
          <w:sz w:val="18"/>
          <w:szCs w:val="17"/>
        </w:rPr>
      </w:pPr>
      <w:r w:rsidRPr="00FC6064">
        <w:rPr>
          <w:rStyle w:val="a7"/>
          <w:color w:val="002060"/>
          <w:sz w:val="18"/>
          <w:szCs w:val="17"/>
        </w:rPr>
        <w:footnoteRef/>
      </w:r>
      <w:r w:rsidRPr="00FC6064">
        <w:rPr>
          <w:rStyle w:val="a7"/>
          <w:color w:val="002060"/>
          <w:sz w:val="18"/>
          <w:szCs w:val="17"/>
        </w:rPr>
        <w:t xml:space="preserve"> </w:t>
      </w:r>
      <w:r w:rsidRPr="00FC6064">
        <w:rPr>
          <w:color w:val="002060"/>
          <w:sz w:val="18"/>
          <w:szCs w:val="17"/>
        </w:rPr>
        <w:t>В рамках тарифов заем предоставляется на цели</w:t>
      </w:r>
      <w:r w:rsidR="00AA10A9" w:rsidRPr="00FC6064">
        <w:rPr>
          <w:color w:val="002060"/>
          <w:sz w:val="18"/>
          <w:szCs w:val="17"/>
        </w:rPr>
        <w:t>:</w:t>
      </w:r>
    </w:p>
    <w:p w:rsidR="00AA10A9" w:rsidRPr="00FC6064" w:rsidRDefault="00AA10A9" w:rsidP="00806A04">
      <w:pPr>
        <w:pStyle w:val="a5"/>
        <w:jc w:val="both"/>
        <w:rPr>
          <w:color w:val="002060"/>
          <w:sz w:val="18"/>
          <w:szCs w:val="17"/>
        </w:rPr>
      </w:pPr>
      <w:r w:rsidRPr="00FC6064">
        <w:rPr>
          <w:color w:val="002060"/>
          <w:sz w:val="18"/>
          <w:szCs w:val="17"/>
        </w:rPr>
        <w:t xml:space="preserve">- </w:t>
      </w:r>
      <w:r w:rsidR="00F31FC0" w:rsidRPr="00FC6064">
        <w:rPr>
          <w:color w:val="002060"/>
          <w:sz w:val="18"/>
          <w:szCs w:val="17"/>
        </w:rPr>
        <w:t xml:space="preserve">приобретения </w:t>
      </w:r>
      <w:r w:rsidR="00806A04" w:rsidRPr="00FC6064">
        <w:rPr>
          <w:color w:val="002060"/>
          <w:sz w:val="18"/>
          <w:szCs w:val="17"/>
        </w:rPr>
        <w:t>кв</w:t>
      </w:r>
      <w:r w:rsidR="0035128F" w:rsidRPr="00FC6064">
        <w:rPr>
          <w:color w:val="002060"/>
          <w:sz w:val="18"/>
          <w:szCs w:val="17"/>
        </w:rPr>
        <w:t>артиры в многоквартирном доме (</w:t>
      </w:r>
      <w:r w:rsidR="00806A04" w:rsidRPr="00FC6064">
        <w:rPr>
          <w:color w:val="002060"/>
          <w:sz w:val="18"/>
          <w:szCs w:val="17"/>
        </w:rPr>
        <w:t>в том числе в жилом доме блокированной застройки) путем</w:t>
      </w:r>
      <w:r w:rsidR="00F31FC0" w:rsidRPr="00FC6064">
        <w:rPr>
          <w:color w:val="002060"/>
          <w:sz w:val="18"/>
          <w:szCs w:val="17"/>
        </w:rPr>
        <w:t xml:space="preserve"> за</w:t>
      </w:r>
      <w:r w:rsidR="000217DC" w:rsidRPr="00FC6064">
        <w:rPr>
          <w:color w:val="002060"/>
          <w:sz w:val="18"/>
          <w:szCs w:val="17"/>
        </w:rPr>
        <w:t>ключения договора купли-продажи</w:t>
      </w:r>
      <w:r w:rsidR="00A43B9D" w:rsidRPr="00FC6064">
        <w:rPr>
          <w:color w:val="002060"/>
          <w:sz w:val="18"/>
          <w:szCs w:val="17"/>
        </w:rPr>
        <w:t xml:space="preserve"> / договора участия в долевом строительстве (договора уступки прав требований по договору участия в долевом строительстве)</w:t>
      </w:r>
    </w:p>
    <w:p w:rsidR="00F31FC0" w:rsidRPr="00FC6064" w:rsidRDefault="00AA10A9" w:rsidP="00806A04">
      <w:pPr>
        <w:pStyle w:val="a5"/>
        <w:jc w:val="both"/>
        <w:rPr>
          <w:color w:val="002060"/>
          <w:sz w:val="18"/>
          <w:szCs w:val="17"/>
        </w:rPr>
      </w:pPr>
      <w:r w:rsidRPr="00FC6064">
        <w:rPr>
          <w:color w:val="002060"/>
          <w:sz w:val="18"/>
          <w:szCs w:val="17"/>
        </w:rPr>
        <w:t>-</w:t>
      </w:r>
      <w:r w:rsidR="00806A04" w:rsidRPr="00FC6064">
        <w:rPr>
          <w:color w:val="002060"/>
          <w:sz w:val="18"/>
          <w:szCs w:val="17"/>
        </w:rPr>
        <w:t xml:space="preserve"> полно</w:t>
      </w:r>
      <w:r w:rsidRPr="00FC6064">
        <w:rPr>
          <w:color w:val="002060"/>
          <w:sz w:val="18"/>
          <w:szCs w:val="17"/>
        </w:rPr>
        <w:t>го</w:t>
      </w:r>
      <w:r w:rsidR="00806A04" w:rsidRPr="00FC6064">
        <w:rPr>
          <w:color w:val="002060"/>
          <w:sz w:val="18"/>
          <w:szCs w:val="17"/>
        </w:rPr>
        <w:t xml:space="preserve"> погашени</w:t>
      </w:r>
      <w:r w:rsidRPr="00FC6064">
        <w:rPr>
          <w:color w:val="002060"/>
          <w:sz w:val="18"/>
          <w:szCs w:val="17"/>
        </w:rPr>
        <w:t>я</w:t>
      </w:r>
      <w:r w:rsidR="00806A04" w:rsidRPr="00FC6064">
        <w:rPr>
          <w:color w:val="002060"/>
          <w:sz w:val="18"/>
          <w:szCs w:val="17"/>
        </w:rPr>
        <w:t xml:space="preserve"> задолженности по действующему ипотечному кредиту, ранее выданному (предшествующий ипотечный кредит) заемщику кредитором/займодавцем — юридическим лицом (предшествующий кредитор) на цели</w:t>
      </w:r>
      <w:r w:rsidR="000217DC" w:rsidRPr="00FC6064">
        <w:rPr>
          <w:color w:val="002060"/>
          <w:sz w:val="18"/>
          <w:szCs w:val="17"/>
        </w:rPr>
        <w:t>:</w:t>
      </w:r>
    </w:p>
    <w:p w:rsidR="000217DC" w:rsidRPr="00FC6064" w:rsidRDefault="000217DC" w:rsidP="000217DC">
      <w:pPr>
        <w:pStyle w:val="a5"/>
        <w:rPr>
          <w:color w:val="002060"/>
          <w:sz w:val="18"/>
          <w:szCs w:val="17"/>
        </w:rPr>
      </w:pPr>
      <w:r w:rsidRPr="00FC6064">
        <w:rPr>
          <w:color w:val="002060"/>
          <w:sz w:val="18"/>
          <w:szCs w:val="17"/>
        </w:rPr>
        <w:t xml:space="preserve">- </w:t>
      </w:r>
      <w:r w:rsidR="00ED60B6" w:rsidRPr="00FC6064">
        <w:rPr>
          <w:color w:val="002060"/>
          <w:sz w:val="18"/>
          <w:szCs w:val="17"/>
        </w:rPr>
        <w:t>приобретения квартиры по договору купли-продажи;</w:t>
      </w:r>
    </w:p>
    <w:p w:rsidR="000217DC" w:rsidRPr="00FC6064" w:rsidRDefault="000217DC" w:rsidP="000217DC">
      <w:pPr>
        <w:pStyle w:val="a5"/>
        <w:jc w:val="both"/>
        <w:rPr>
          <w:color w:val="002060"/>
          <w:sz w:val="18"/>
          <w:szCs w:val="17"/>
        </w:rPr>
      </w:pPr>
      <w:r w:rsidRPr="00FC6064">
        <w:rPr>
          <w:color w:val="002060"/>
          <w:sz w:val="18"/>
          <w:szCs w:val="17"/>
        </w:rPr>
        <w:t>-  </w:t>
      </w:r>
      <w:r w:rsidR="00ED60B6" w:rsidRPr="00FC6064">
        <w:rPr>
          <w:color w:val="002060"/>
          <w:sz w:val="18"/>
          <w:szCs w:val="17"/>
        </w:rPr>
        <w:t>приобретения квартиры на этапе строительства путем заключения договора участия в долевом строительстве (договора уступки прав требований по договору участия в долевом строительстве</w:t>
      </w:r>
      <w:r w:rsidR="000161B7" w:rsidRPr="00FC6064">
        <w:rPr>
          <w:color w:val="002060"/>
          <w:sz w:val="18"/>
          <w:szCs w:val="17"/>
        </w:rPr>
        <w:t xml:space="preserve">) </w:t>
      </w:r>
      <w:r w:rsidR="00873C05" w:rsidRPr="00FC6064">
        <w:rPr>
          <w:color w:val="002060"/>
          <w:sz w:val="18"/>
          <w:szCs w:val="17"/>
        </w:rPr>
        <w:t>при условии</w:t>
      </w:r>
      <w:r w:rsidR="000161B7" w:rsidRPr="00FC6064">
        <w:rPr>
          <w:color w:val="002060"/>
          <w:sz w:val="18"/>
          <w:szCs w:val="17"/>
        </w:rPr>
        <w:t xml:space="preserve"> оформлен</w:t>
      </w:r>
      <w:r w:rsidR="00873C05" w:rsidRPr="00FC6064">
        <w:rPr>
          <w:color w:val="002060"/>
          <w:sz w:val="18"/>
          <w:szCs w:val="17"/>
        </w:rPr>
        <w:t>ия права</w:t>
      </w:r>
      <w:r w:rsidR="000161B7" w:rsidRPr="00FC6064">
        <w:rPr>
          <w:color w:val="002060"/>
          <w:sz w:val="18"/>
          <w:szCs w:val="17"/>
        </w:rPr>
        <w:t xml:space="preserve"> собственности</w:t>
      </w:r>
      <w:r w:rsidRPr="00FC6064">
        <w:rPr>
          <w:color w:val="002060"/>
          <w:sz w:val="18"/>
          <w:szCs w:val="17"/>
        </w:rPr>
        <w:t>.</w:t>
      </w:r>
    </w:p>
  </w:footnote>
  <w:footnote w:id="2">
    <w:p w:rsidR="001203EA" w:rsidRPr="00FC6064" w:rsidRDefault="001203EA" w:rsidP="000217DC">
      <w:pPr>
        <w:pStyle w:val="a5"/>
        <w:jc w:val="both"/>
        <w:rPr>
          <w:color w:val="002060"/>
          <w:sz w:val="18"/>
          <w:szCs w:val="17"/>
        </w:rPr>
      </w:pPr>
      <w:r w:rsidRPr="00FC6064">
        <w:rPr>
          <w:rStyle w:val="a7"/>
          <w:color w:val="002060"/>
          <w:sz w:val="18"/>
          <w:szCs w:val="17"/>
        </w:rPr>
        <w:footnoteRef/>
      </w:r>
      <w:r w:rsidRPr="00FC6064">
        <w:rPr>
          <w:color w:val="002060"/>
          <w:sz w:val="18"/>
          <w:szCs w:val="17"/>
        </w:rPr>
        <w:t xml:space="preserve"> Размер первоначального взноса указан в процентах от стоимости приобретаемого объекта недвижимости.  Нижняя граница диапазона по первоначальному взносу включается в него, верхняя – исключается.</w:t>
      </w:r>
    </w:p>
  </w:footnote>
  <w:footnote w:id="3">
    <w:p w:rsidR="00EF0B3E" w:rsidRPr="00FC6064" w:rsidRDefault="00A227F9" w:rsidP="00EF0B3E">
      <w:pPr>
        <w:pStyle w:val="a5"/>
        <w:rPr>
          <w:color w:val="002060"/>
          <w:sz w:val="18"/>
          <w:szCs w:val="17"/>
        </w:rPr>
      </w:pPr>
      <w:r w:rsidRPr="00FC6064">
        <w:rPr>
          <w:rStyle w:val="a7"/>
          <w:color w:val="002060"/>
          <w:sz w:val="18"/>
          <w:szCs w:val="17"/>
        </w:rPr>
        <w:footnoteRef/>
      </w:r>
      <w:r w:rsidRPr="00FC6064">
        <w:rPr>
          <w:rStyle w:val="a7"/>
          <w:color w:val="002060"/>
          <w:sz w:val="18"/>
          <w:szCs w:val="17"/>
        </w:rPr>
        <w:t xml:space="preserve"> </w:t>
      </w:r>
      <w:r w:rsidRPr="00FC6064">
        <w:rPr>
          <w:color w:val="002060"/>
          <w:sz w:val="18"/>
          <w:szCs w:val="17"/>
        </w:rPr>
        <w:t xml:space="preserve">Процентная ставка состоит из переменной </w:t>
      </w:r>
      <w:r w:rsidR="00EF0B3E" w:rsidRPr="00FC6064">
        <w:rPr>
          <w:color w:val="002060"/>
          <w:sz w:val="18"/>
          <w:szCs w:val="17"/>
        </w:rPr>
        <w:t xml:space="preserve">(ИПЦ) </w:t>
      </w:r>
      <w:r w:rsidRPr="00FC6064">
        <w:rPr>
          <w:color w:val="002060"/>
          <w:sz w:val="18"/>
          <w:szCs w:val="17"/>
        </w:rPr>
        <w:t>и постоянной части</w:t>
      </w:r>
      <w:r w:rsidR="00EF0B3E" w:rsidRPr="00FC6064">
        <w:rPr>
          <w:color w:val="002060"/>
          <w:sz w:val="18"/>
          <w:szCs w:val="17"/>
        </w:rPr>
        <w:t>. ИПЦ - индекс потребительских цен, значение части ИПЦ рассчитывается по формуле:</w:t>
      </w:r>
    </w:p>
    <w:p w:rsidR="00EF0B3E" w:rsidRPr="00FC6064" w:rsidRDefault="00EF0B3E" w:rsidP="00EF0B3E">
      <w:pPr>
        <w:shd w:val="clear" w:color="auto" w:fill="FFFFFF"/>
        <w:spacing w:after="0" w:line="240" w:lineRule="auto"/>
        <w:rPr>
          <w:color w:val="002060"/>
          <w:sz w:val="18"/>
          <w:szCs w:val="17"/>
        </w:rPr>
      </w:pPr>
      <w:r w:rsidRPr="00FC6064">
        <w:rPr>
          <w:color w:val="002060"/>
          <w:position w:val="-24"/>
          <w:sz w:val="8"/>
          <w:szCs w:val="17"/>
        </w:rPr>
        <w:object w:dxaOrig="620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25pt;height:24pt" o:ole="">
            <v:imagedata r:id="rId1" o:title=""/>
          </v:shape>
          <o:OLEObject Type="Embed" ProgID="Equation.3" ShapeID="_x0000_i1025" DrawAspect="Content" ObjectID="_1600152684" r:id="rId2"/>
        </w:object>
      </w:r>
      <w:r w:rsidRPr="00FC6064">
        <w:rPr>
          <w:color w:val="002060"/>
          <w:sz w:val="18"/>
          <w:szCs w:val="17"/>
        </w:rPr>
        <w:t>, где</w:t>
      </w:r>
    </w:p>
    <w:p w:rsidR="00EF0B3E" w:rsidRPr="00FC6064" w:rsidRDefault="00EF0B3E" w:rsidP="00EF0B3E">
      <w:pPr>
        <w:shd w:val="clear" w:color="auto" w:fill="FFFFFF"/>
        <w:spacing w:after="0" w:line="240" w:lineRule="auto"/>
        <w:rPr>
          <w:color w:val="002060"/>
          <w:sz w:val="18"/>
          <w:szCs w:val="17"/>
        </w:rPr>
      </w:pPr>
      <w:r w:rsidRPr="00FC6064">
        <w:rPr>
          <w:color w:val="002060"/>
          <w:sz w:val="18"/>
          <w:szCs w:val="17"/>
        </w:rPr>
        <w:t>(i) — месяц, предшествующий расчетному календарному кварталу;</w:t>
      </w:r>
    </w:p>
    <w:p w:rsidR="00EF0B3E" w:rsidRPr="00FC6064" w:rsidRDefault="00EF0B3E" w:rsidP="00EF0B3E">
      <w:pPr>
        <w:shd w:val="clear" w:color="auto" w:fill="FFFFFF"/>
        <w:spacing w:after="0" w:line="208" w:lineRule="atLeast"/>
        <w:rPr>
          <w:color w:val="002060"/>
          <w:sz w:val="18"/>
          <w:szCs w:val="17"/>
        </w:rPr>
      </w:pPr>
      <w:r w:rsidRPr="00FC6064">
        <w:rPr>
          <w:color w:val="002060"/>
          <w:sz w:val="18"/>
          <w:szCs w:val="17"/>
        </w:rPr>
        <w:t>ИПЦ(i-1) — индекс потребительских цен на товары и услуги первого месяца, предшествующего месяцу (i), в процентах к предыдущему месяцу;</w:t>
      </w:r>
    </w:p>
    <w:p w:rsidR="00EF0B3E" w:rsidRPr="00FC6064" w:rsidRDefault="00EF0B3E" w:rsidP="00EF0B3E">
      <w:pPr>
        <w:shd w:val="clear" w:color="auto" w:fill="FFFFFF"/>
        <w:spacing w:after="0" w:line="208" w:lineRule="atLeast"/>
        <w:rPr>
          <w:color w:val="002060"/>
          <w:sz w:val="18"/>
          <w:szCs w:val="17"/>
        </w:rPr>
      </w:pPr>
      <w:r w:rsidRPr="00FC6064">
        <w:rPr>
          <w:color w:val="002060"/>
          <w:sz w:val="18"/>
          <w:szCs w:val="17"/>
        </w:rPr>
        <w:t>ИПЦ(i-2) — индекс потребительских цен на товары и услуги второго месяца, предшествующего месяцу (i), в процентах к предыдущему месяцу;</w:t>
      </w:r>
    </w:p>
    <w:p w:rsidR="00EF0B3E" w:rsidRPr="00FC6064" w:rsidRDefault="00EF0B3E" w:rsidP="00EF0B3E">
      <w:pPr>
        <w:shd w:val="clear" w:color="auto" w:fill="FFFFFF"/>
        <w:spacing w:after="0" w:line="208" w:lineRule="atLeast"/>
        <w:rPr>
          <w:color w:val="002060"/>
          <w:sz w:val="18"/>
          <w:szCs w:val="17"/>
        </w:rPr>
      </w:pPr>
      <w:r w:rsidRPr="00FC6064">
        <w:rPr>
          <w:color w:val="002060"/>
          <w:sz w:val="18"/>
          <w:szCs w:val="17"/>
        </w:rPr>
        <w:t>ИПЦ(i-3) — индекс потребительских цен на товары и услуги третьего месяца, предшествующего месяцу (i), в процентах к предыдущему месяцу.</w:t>
      </w:r>
      <w:r w:rsidR="004B2DAF" w:rsidRPr="00FC6064">
        <w:rPr>
          <w:color w:val="002060"/>
          <w:sz w:val="18"/>
          <w:szCs w:val="17"/>
        </w:rPr>
        <w:t xml:space="preserve"> </w:t>
      </w:r>
      <w:r w:rsidRPr="00FC6064">
        <w:rPr>
          <w:color w:val="002060"/>
          <w:sz w:val="18"/>
          <w:szCs w:val="17"/>
        </w:rPr>
        <w:t>Показатели ИПЦ(i-1), ИПЦ(i-2), ИПЦ(i-3) публикуются на официальном сайте Росстата (</w:t>
      </w:r>
      <w:hyperlink r:id="rId3" w:history="1">
        <w:r w:rsidRPr="00FC6064">
          <w:rPr>
            <w:color w:val="002060"/>
            <w:sz w:val="18"/>
            <w:szCs w:val="17"/>
          </w:rPr>
          <w:t>http://www.gks.ru/</w:t>
        </w:r>
      </w:hyperlink>
      <w:r w:rsidRPr="00FC6064">
        <w:rPr>
          <w:color w:val="002060"/>
          <w:sz w:val="18"/>
          <w:szCs w:val="17"/>
        </w:rPr>
        <w:t>).</w:t>
      </w:r>
    </w:p>
    <w:p w:rsidR="00EF0B3E" w:rsidRPr="00FC6064" w:rsidRDefault="00EF0B3E" w:rsidP="00FB05D9">
      <w:pPr>
        <w:shd w:val="clear" w:color="auto" w:fill="FFFFFF"/>
        <w:spacing w:after="0" w:line="208" w:lineRule="atLeast"/>
        <w:jc w:val="both"/>
        <w:rPr>
          <w:color w:val="002060"/>
          <w:sz w:val="18"/>
          <w:szCs w:val="17"/>
        </w:rPr>
      </w:pPr>
      <w:r w:rsidRPr="00FC6064">
        <w:rPr>
          <w:color w:val="002060"/>
          <w:sz w:val="18"/>
          <w:szCs w:val="17"/>
        </w:rPr>
        <w:t>Полученное значение части ИПЦ округляется до двух знаков после запятой по математическим правилам, промежуточное округление не допускается.</w:t>
      </w:r>
      <w:r w:rsidR="004B2DAF" w:rsidRPr="00FC6064">
        <w:rPr>
          <w:color w:val="002060"/>
          <w:sz w:val="18"/>
          <w:szCs w:val="17"/>
        </w:rPr>
        <w:t xml:space="preserve"> </w:t>
      </w:r>
      <w:r w:rsidRPr="00FC6064">
        <w:rPr>
          <w:color w:val="002060"/>
          <w:sz w:val="18"/>
          <w:szCs w:val="17"/>
        </w:rPr>
        <w:t>Минимальная процентная ставка составляет 5,0% годовых.</w:t>
      </w:r>
    </w:p>
    <w:p w:rsidR="006A570F" w:rsidRPr="00FC6064" w:rsidRDefault="00DD28CA" w:rsidP="00FB05D9">
      <w:pPr>
        <w:shd w:val="clear" w:color="auto" w:fill="FFFFFF"/>
        <w:spacing w:after="0" w:line="208" w:lineRule="atLeast"/>
        <w:jc w:val="both"/>
        <w:rPr>
          <w:color w:val="002060"/>
          <w:sz w:val="18"/>
          <w:szCs w:val="17"/>
        </w:rPr>
      </w:pPr>
      <w:r w:rsidRPr="00FC6064">
        <w:rPr>
          <w:color w:val="002060"/>
          <w:sz w:val="18"/>
          <w:szCs w:val="17"/>
        </w:rPr>
        <w:t>В случае отказа заемщика от оформления личного страхования (в т.ч. неисполнение заемщиком обязанностей по личному страхованию) процентная ставка увеличивается на 0,7 п.п.</w:t>
      </w:r>
      <w:r w:rsidR="004B2DAF" w:rsidRPr="00FC6064">
        <w:rPr>
          <w:color w:val="002060"/>
          <w:sz w:val="18"/>
          <w:szCs w:val="17"/>
        </w:rPr>
        <w:t xml:space="preserve"> </w:t>
      </w:r>
    </w:p>
  </w:footnote>
  <w:footnote w:id="4">
    <w:p w:rsidR="006A570F" w:rsidRPr="00FC6064" w:rsidRDefault="006A570F">
      <w:pPr>
        <w:pStyle w:val="a5"/>
        <w:rPr>
          <w:sz w:val="22"/>
        </w:rPr>
      </w:pPr>
      <w:r w:rsidRPr="00FC6064">
        <w:rPr>
          <w:rStyle w:val="a7"/>
          <w:color w:val="002060"/>
          <w:sz w:val="18"/>
          <w:szCs w:val="17"/>
        </w:rPr>
        <w:footnoteRef/>
      </w:r>
      <w:r w:rsidRPr="00FC6064">
        <w:rPr>
          <w:rStyle w:val="a7"/>
          <w:color w:val="002060"/>
          <w:sz w:val="18"/>
          <w:szCs w:val="17"/>
        </w:rPr>
        <w:t xml:space="preserve"> </w:t>
      </w:r>
      <w:r w:rsidRPr="00FC6064">
        <w:rPr>
          <w:color w:val="002060"/>
          <w:sz w:val="18"/>
          <w:szCs w:val="17"/>
        </w:rPr>
        <w:t xml:space="preserve">Процентная ставка увеличивается на 0,5 п.п. </w:t>
      </w:r>
      <w:r w:rsidR="0077355A">
        <w:rPr>
          <w:color w:val="002060"/>
          <w:sz w:val="18"/>
          <w:szCs w:val="17"/>
        </w:rPr>
        <w:t>в случае применения опции «Легкая ипотека».</w:t>
      </w:r>
    </w:p>
  </w:footnote>
  <w:footnote w:id="5">
    <w:p w:rsidR="00430AE6" w:rsidRPr="004B2DAF" w:rsidRDefault="00430AE6" w:rsidP="00FB05D9">
      <w:pPr>
        <w:pStyle w:val="a5"/>
        <w:jc w:val="both"/>
        <w:rPr>
          <w:color w:val="002060"/>
          <w:sz w:val="17"/>
          <w:szCs w:val="17"/>
        </w:rPr>
      </w:pPr>
      <w:r w:rsidRPr="00FC6064">
        <w:rPr>
          <w:rStyle w:val="a7"/>
          <w:color w:val="002060"/>
          <w:sz w:val="18"/>
          <w:szCs w:val="17"/>
        </w:rPr>
        <w:footnoteRef/>
      </w:r>
      <w:r w:rsidRPr="00FC6064">
        <w:rPr>
          <w:rStyle w:val="a7"/>
          <w:color w:val="002060"/>
          <w:sz w:val="18"/>
          <w:szCs w:val="17"/>
        </w:rPr>
        <w:t xml:space="preserve"> </w:t>
      </w:r>
      <w:r w:rsidRPr="00FC6064">
        <w:rPr>
          <w:color w:val="002060"/>
          <w:sz w:val="18"/>
          <w:szCs w:val="17"/>
        </w:rPr>
        <w:t>Процентная ставка пересматривается 4 раза в год:</w:t>
      </w:r>
      <w:r w:rsidR="004B2DAF" w:rsidRPr="00FC6064">
        <w:rPr>
          <w:color w:val="002060"/>
          <w:sz w:val="18"/>
          <w:szCs w:val="17"/>
        </w:rPr>
        <w:t xml:space="preserve"> 1 января, 1 апреля, 1 июля, 1 октября.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666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6"/>
      <w:gridCol w:w="3537"/>
    </w:tblGrid>
    <w:tr w:rsidR="000C74F6" w:rsidRPr="00A40CB6" w:rsidTr="00131538">
      <w:tc>
        <w:tcPr>
          <w:tcW w:w="3126" w:type="dxa"/>
        </w:tcPr>
        <w:p w:rsidR="000C74F6" w:rsidRDefault="000C74F6" w:rsidP="000C74F6">
          <w:pPr>
            <w:pStyle w:val="af2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>
            <w:rPr>
              <w:b/>
              <w:smallCaps/>
              <w:noProof/>
              <w:color w:val="2E74B5" w:themeColor="accent1" w:themeShade="BF"/>
              <w:sz w:val="24"/>
              <w:szCs w:val="24"/>
              <w:lang w:val="ru-RU" w:eastAsia="ru-RU"/>
            </w:rPr>
            <w:drawing>
              <wp:inline distT="0" distB="0" distL="0" distR="0" wp14:anchorId="308512B3" wp14:editId="7C2B36F0">
                <wp:extent cx="1847215" cy="469265"/>
                <wp:effectExtent l="0" t="0" r="635" b="698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7215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37" w:type="dxa"/>
          <w:tcBorders>
            <w:bottom w:val="single" w:sz="4" w:space="0" w:color="5B9BD5" w:themeColor="accent1"/>
          </w:tcBorders>
          <w:vAlign w:val="center"/>
        </w:tcPr>
        <w:p w:rsidR="000C74F6" w:rsidRPr="00030C82" w:rsidRDefault="000C74F6" w:rsidP="000C74F6">
          <w:pPr>
            <w:pStyle w:val="af2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АКЦИОНЕРНОЕ ОБЩЕСТВО </w:t>
          </w:r>
        </w:p>
        <w:p w:rsidR="000C74F6" w:rsidRPr="00030C82" w:rsidRDefault="000C74F6" w:rsidP="000C74F6">
          <w:pPr>
            <w:pStyle w:val="af2"/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</w:pP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«УФИМСКОЕ </w:t>
          </w:r>
          <w:r w:rsidRPr="00A40CB6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ГОРОДСКОЕ</w:t>
          </w:r>
          <w:r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 xml:space="preserve"> АГЕНТСТВО </w:t>
          </w:r>
        </w:p>
        <w:p w:rsidR="000C74F6" w:rsidRDefault="00B17612" w:rsidP="000C74F6">
          <w:pPr>
            <w:pStyle w:val="af2"/>
            <w:rPr>
              <w:b/>
              <w:smallCaps/>
              <w:color w:val="2E74B5" w:themeColor="accent1" w:themeShade="BF"/>
              <w:sz w:val="24"/>
              <w:szCs w:val="24"/>
              <w:lang w:val="ru-RU"/>
            </w:rPr>
          </w:pPr>
          <w:r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ИПОТЕЧНОГО КРЕДИТОВАНИЯ» (</w:t>
          </w:r>
          <w:r w:rsidR="000C74F6" w:rsidRPr="00030C82">
            <w:rPr>
              <w:b/>
              <w:smallCaps/>
              <w:color w:val="2E74B5" w:themeColor="accent1" w:themeShade="BF"/>
              <w:sz w:val="16"/>
              <w:szCs w:val="16"/>
              <w:lang w:val="ru-RU"/>
            </w:rPr>
            <w:t>АО «УГАИК»)</w:t>
          </w:r>
        </w:p>
      </w:tc>
    </w:tr>
  </w:tbl>
  <w:p w:rsidR="00CD072E" w:rsidRPr="000C74F6" w:rsidRDefault="00CD072E">
    <w:pPr>
      <w:pStyle w:val="a8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21108"/>
    <w:multiLevelType w:val="hybridMultilevel"/>
    <w:tmpl w:val="7E58942E"/>
    <w:lvl w:ilvl="0" w:tplc="B2AE6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7BEE"/>
    <w:multiLevelType w:val="multilevel"/>
    <w:tmpl w:val="420C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9"/>
    <w:rsid w:val="000108CC"/>
    <w:rsid w:val="000161B7"/>
    <w:rsid w:val="000217DC"/>
    <w:rsid w:val="00077A3F"/>
    <w:rsid w:val="000A2835"/>
    <w:rsid w:val="000A6182"/>
    <w:rsid w:val="000C74F6"/>
    <w:rsid w:val="000E2A6C"/>
    <w:rsid w:val="000E6DA2"/>
    <w:rsid w:val="001203EA"/>
    <w:rsid w:val="00120691"/>
    <w:rsid w:val="00142B55"/>
    <w:rsid w:val="00162BF4"/>
    <w:rsid w:val="001970D5"/>
    <w:rsid w:val="001A2D8B"/>
    <w:rsid w:val="001C25B0"/>
    <w:rsid w:val="001E6285"/>
    <w:rsid w:val="0020512B"/>
    <w:rsid w:val="00216E82"/>
    <w:rsid w:val="00222634"/>
    <w:rsid w:val="00247F83"/>
    <w:rsid w:val="002568FA"/>
    <w:rsid w:val="00266B83"/>
    <w:rsid w:val="002818F9"/>
    <w:rsid w:val="002A0AB7"/>
    <w:rsid w:val="002A3BF9"/>
    <w:rsid w:val="002D38CD"/>
    <w:rsid w:val="00350643"/>
    <w:rsid w:val="0035128F"/>
    <w:rsid w:val="00357CFF"/>
    <w:rsid w:val="00380AA9"/>
    <w:rsid w:val="003A6BCE"/>
    <w:rsid w:val="003B1477"/>
    <w:rsid w:val="003B381E"/>
    <w:rsid w:val="003B454E"/>
    <w:rsid w:val="003E247F"/>
    <w:rsid w:val="0040196D"/>
    <w:rsid w:val="00402C3C"/>
    <w:rsid w:val="00412836"/>
    <w:rsid w:val="004133E3"/>
    <w:rsid w:val="00421DC6"/>
    <w:rsid w:val="00422C19"/>
    <w:rsid w:val="004304D2"/>
    <w:rsid w:val="00430AE6"/>
    <w:rsid w:val="00461952"/>
    <w:rsid w:val="004672A8"/>
    <w:rsid w:val="004B2DAF"/>
    <w:rsid w:val="004F5D4F"/>
    <w:rsid w:val="0050331F"/>
    <w:rsid w:val="00512035"/>
    <w:rsid w:val="00541CDC"/>
    <w:rsid w:val="00585BC3"/>
    <w:rsid w:val="00592F78"/>
    <w:rsid w:val="005B4D30"/>
    <w:rsid w:val="005D4317"/>
    <w:rsid w:val="00605AEC"/>
    <w:rsid w:val="006341EF"/>
    <w:rsid w:val="0064587F"/>
    <w:rsid w:val="006468D8"/>
    <w:rsid w:val="006537D0"/>
    <w:rsid w:val="006641BC"/>
    <w:rsid w:val="006A300C"/>
    <w:rsid w:val="006A570F"/>
    <w:rsid w:val="00705644"/>
    <w:rsid w:val="0075083A"/>
    <w:rsid w:val="00771805"/>
    <w:rsid w:val="00771FD3"/>
    <w:rsid w:val="0077355A"/>
    <w:rsid w:val="007F38EC"/>
    <w:rsid w:val="00806A04"/>
    <w:rsid w:val="00820301"/>
    <w:rsid w:val="00824900"/>
    <w:rsid w:val="00835343"/>
    <w:rsid w:val="00842F79"/>
    <w:rsid w:val="00847384"/>
    <w:rsid w:val="00873C05"/>
    <w:rsid w:val="008A1EFE"/>
    <w:rsid w:val="008A24C6"/>
    <w:rsid w:val="008A2F04"/>
    <w:rsid w:val="008B59A4"/>
    <w:rsid w:val="008C5135"/>
    <w:rsid w:val="00901CAA"/>
    <w:rsid w:val="00922D47"/>
    <w:rsid w:val="00970F3B"/>
    <w:rsid w:val="0098346F"/>
    <w:rsid w:val="009A5418"/>
    <w:rsid w:val="00A15268"/>
    <w:rsid w:val="00A227F9"/>
    <w:rsid w:val="00A263DF"/>
    <w:rsid w:val="00A43B9D"/>
    <w:rsid w:val="00A665E3"/>
    <w:rsid w:val="00A73D1B"/>
    <w:rsid w:val="00AA10A9"/>
    <w:rsid w:val="00AD6C38"/>
    <w:rsid w:val="00B0268D"/>
    <w:rsid w:val="00B03117"/>
    <w:rsid w:val="00B17612"/>
    <w:rsid w:val="00B22298"/>
    <w:rsid w:val="00B23F99"/>
    <w:rsid w:val="00B33A17"/>
    <w:rsid w:val="00B76E5E"/>
    <w:rsid w:val="00B8088E"/>
    <w:rsid w:val="00B8603D"/>
    <w:rsid w:val="00BC505D"/>
    <w:rsid w:val="00BD3263"/>
    <w:rsid w:val="00BE1416"/>
    <w:rsid w:val="00BF0EB0"/>
    <w:rsid w:val="00C405EA"/>
    <w:rsid w:val="00C44627"/>
    <w:rsid w:val="00C46998"/>
    <w:rsid w:val="00C84572"/>
    <w:rsid w:val="00C9457A"/>
    <w:rsid w:val="00C95448"/>
    <w:rsid w:val="00CB13F4"/>
    <w:rsid w:val="00CD072E"/>
    <w:rsid w:val="00CD0755"/>
    <w:rsid w:val="00CF684C"/>
    <w:rsid w:val="00D148FE"/>
    <w:rsid w:val="00D14C43"/>
    <w:rsid w:val="00D24115"/>
    <w:rsid w:val="00D404D0"/>
    <w:rsid w:val="00D509C8"/>
    <w:rsid w:val="00D51C76"/>
    <w:rsid w:val="00DB71A0"/>
    <w:rsid w:val="00DD28CA"/>
    <w:rsid w:val="00DD6BEC"/>
    <w:rsid w:val="00E1234B"/>
    <w:rsid w:val="00E168C8"/>
    <w:rsid w:val="00E23907"/>
    <w:rsid w:val="00E24E2B"/>
    <w:rsid w:val="00E81E85"/>
    <w:rsid w:val="00ED60B6"/>
    <w:rsid w:val="00ED7598"/>
    <w:rsid w:val="00EF0B3E"/>
    <w:rsid w:val="00F31FC0"/>
    <w:rsid w:val="00F52AAB"/>
    <w:rsid w:val="00F52E29"/>
    <w:rsid w:val="00F6660B"/>
    <w:rsid w:val="00F8239D"/>
    <w:rsid w:val="00F8479D"/>
    <w:rsid w:val="00F93D3D"/>
    <w:rsid w:val="00FA1693"/>
    <w:rsid w:val="00FB05D9"/>
    <w:rsid w:val="00FC47A2"/>
    <w:rsid w:val="00FC6064"/>
    <w:rsid w:val="00FD1914"/>
    <w:rsid w:val="00F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97820B6-C28B-48FA-A461-A89714EA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18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2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51">
    <w:name w:val="Grid Table 5 Dark Accent 1"/>
    <w:basedOn w:val="a1"/>
    <w:uiPriority w:val="50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-41">
    <w:name w:val="Grid Table 4 Accent 1"/>
    <w:basedOn w:val="a1"/>
    <w:uiPriority w:val="49"/>
    <w:rsid w:val="00E1234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71">
    <w:name w:val="List Table 7 Colorful Accent 1"/>
    <w:basedOn w:val="a1"/>
    <w:uiPriority w:val="52"/>
    <w:rsid w:val="00E1234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1"/>
    <w:uiPriority w:val="52"/>
    <w:rsid w:val="00E1234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footnote text"/>
    <w:basedOn w:val="a"/>
    <w:link w:val="a6"/>
    <w:uiPriority w:val="99"/>
    <w:unhideWhenUsed/>
    <w:rsid w:val="00D509C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509C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9C8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37D0"/>
  </w:style>
  <w:style w:type="paragraph" w:styleId="aa">
    <w:name w:val="footer"/>
    <w:basedOn w:val="a"/>
    <w:link w:val="ab"/>
    <w:uiPriority w:val="99"/>
    <w:unhideWhenUsed/>
    <w:rsid w:val="0065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37D0"/>
  </w:style>
  <w:style w:type="paragraph" w:styleId="ac">
    <w:name w:val="Balloon Text"/>
    <w:basedOn w:val="a"/>
    <w:link w:val="ad"/>
    <w:uiPriority w:val="99"/>
    <w:semiHidden/>
    <w:unhideWhenUsed/>
    <w:rsid w:val="00771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180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217DC"/>
  </w:style>
  <w:style w:type="paragraph" w:styleId="ae">
    <w:name w:val="List Paragraph"/>
    <w:basedOn w:val="a"/>
    <w:uiPriority w:val="34"/>
    <w:qFormat/>
    <w:rsid w:val="00142B5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">
    <w:name w:val="Strong"/>
    <w:basedOn w:val="a0"/>
    <w:uiPriority w:val="22"/>
    <w:qFormat/>
    <w:rsid w:val="0035128F"/>
    <w:rPr>
      <w:b/>
      <w:bCs/>
    </w:rPr>
  </w:style>
  <w:style w:type="character" w:styleId="af0">
    <w:name w:val="Emphasis"/>
    <w:basedOn w:val="a0"/>
    <w:uiPriority w:val="20"/>
    <w:qFormat/>
    <w:rsid w:val="0035128F"/>
    <w:rPr>
      <w:i/>
      <w:iCs/>
    </w:rPr>
  </w:style>
  <w:style w:type="character" w:styleId="af1">
    <w:name w:val="Hyperlink"/>
    <w:basedOn w:val="a0"/>
    <w:uiPriority w:val="99"/>
    <w:semiHidden/>
    <w:unhideWhenUsed/>
    <w:rsid w:val="0035128F"/>
    <w:rPr>
      <w:color w:val="0000FF"/>
      <w:u w:val="single"/>
    </w:rPr>
  </w:style>
  <w:style w:type="paragraph" w:styleId="af2">
    <w:name w:val="No Spacing"/>
    <w:uiPriority w:val="1"/>
    <w:qFormat/>
    <w:rsid w:val="000C74F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ks.ru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85510-22C6-4416-95E0-51FA2AC4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ЖариноваЕВ</cp:lastModifiedBy>
  <cp:revision>15</cp:revision>
  <cp:lastPrinted>2015-07-22T06:56:00Z</cp:lastPrinted>
  <dcterms:created xsi:type="dcterms:W3CDTF">2016-09-21T05:36:00Z</dcterms:created>
  <dcterms:modified xsi:type="dcterms:W3CDTF">2018-10-04T05:05:00Z</dcterms:modified>
</cp:coreProperties>
</file>